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3951AF0" w14:textId="5A371E76" w:rsidR="0004396D" w:rsidRDefault="0004396D" w:rsidP="0004396D">
      <w:pPr>
        <w:rPr>
          <w:lang w:val="en-GB" w:eastAsia="de-DE"/>
        </w:rPr>
      </w:pPr>
    </w:p>
    <w:p w14:paraId="0F987454" w14:textId="66B37DB9" w:rsidR="0004396D" w:rsidRDefault="0004396D" w:rsidP="0004396D">
      <w:pPr>
        <w:rPr>
          <w:lang w:val="en-GB" w:eastAsia="de-DE"/>
        </w:rPr>
      </w:pPr>
    </w:p>
    <w:p w14:paraId="0EEB1FCA" w14:textId="77777777" w:rsidR="0004396D" w:rsidRPr="0004396D" w:rsidRDefault="0004396D" w:rsidP="0004396D">
      <w:pPr>
        <w:rPr>
          <w:lang w:val="en-GB" w:eastAsia="de-DE"/>
        </w:rPr>
      </w:pPr>
    </w:p>
    <w:p w14:paraId="092935DF" w14:textId="16E29AB6" w:rsidR="00AC6937" w:rsidRDefault="00F241E5" w:rsidP="00AC6937">
      <w:pPr>
        <w:keepNext/>
      </w:pPr>
      <w:r>
        <w:rPr>
          <w:noProof/>
        </w:rPr>
        <w:drawing>
          <wp:inline distT="0" distB="0" distL="0" distR="0" wp14:anchorId="0E55FD34" wp14:editId="101B1F17">
            <wp:extent cx="5731510" cy="4422775"/>
            <wp:effectExtent l="0" t="0" r="0" b="0"/>
            <wp:docPr id="62579579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5795799" name="Picture 625795799"/>
                    <pic:cNvPicPr/>
                  </pic:nvPicPr>
                  <pic:blipFill>
                    <a:blip r:embed="rId5" cstate="print">
                      <a:extLst>
                        <a:ext uri="{28A0092B-C50C-407E-A947-70E740481C1C}">
                          <a14:useLocalDpi xmlns:a14="http://schemas.microsoft.com/office/drawing/2010/main" val="0"/>
                        </a:ext>
                      </a:extLst>
                    </a:blip>
                    <a:stretch>
                      <a:fillRect/>
                    </a:stretch>
                  </pic:blipFill>
                  <pic:spPr>
                    <a:xfrm>
                      <a:off x="0" y="0"/>
                      <a:ext cx="5731510" cy="4422775"/>
                    </a:xfrm>
                    <a:prstGeom prst="rect">
                      <a:avLst/>
                    </a:prstGeom>
                  </pic:spPr>
                </pic:pic>
              </a:graphicData>
            </a:graphic>
          </wp:inline>
        </w:drawing>
      </w:r>
    </w:p>
    <w:p w14:paraId="297C2C18" w14:textId="6F8E47E9" w:rsidR="001A19EB" w:rsidRDefault="00AC6937" w:rsidP="00AC6937">
      <w:pPr>
        <w:pStyle w:val="Caption"/>
        <w:rPr>
          <w:rFonts w:ascii="Times New Roman" w:hAnsi="Times New Roman" w:cs="Times New Roman"/>
          <w:color w:val="000000" w:themeColor="text1"/>
        </w:rPr>
      </w:pPr>
      <w:r w:rsidRPr="00F241E5">
        <w:rPr>
          <w:rFonts w:ascii="Times New Roman" w:hAnsi="Times New Roman" w:cs="Times New Roman"/>
          <w:b/>
          <w:bCs/>
          <w:color w:val="000000" w:themeColor="text1"/>
        </w:rPr>
        <w:t>Figure</w:t>
      </w:r>
      <w:r w:rsidR="00725FC4" w:rsidRPr="00725FC4">
        <w:rPr>
          <w:rFonts w:ascii="Times New Roman" w:hAnsi="Times New Roman" w:cs="Times New Roman"/>
          <w:b/>
          <w:bCs/>
          <w:color w:val="000000" w:themeColor="text1"/>
        </w:rPr>
        <w:t xml:space="preserve"> </w:t>
      </w:r>
      <w:r w:rsidR="00725FC4">
        <w:rPr>
          <w:rFonts w:ascii="Times New Roman" w:hAnsi="Times New Roman" w:cs="Times New Roman"/>
          <w:b/>
          <w:bCs/>
          <w:color w:val="000000" w:themeColor="text1"/>
        </w:rPr>
        <w:t>S</w:t>
      </w:r>
      <w:r w:rsidR="00725FC4" w:rsidRPr="000D4C9E">
        <w:rPr>
          <w:rFonts w:ascii="Times New Roman" w:hAnsi="Times New Roman" w:cs="Times New Roman"/>
          <w:b/>
          <w:bCs/>
          <w:color w:val="000000" w:themeColor="text1"/>
        </w:rPr>
        <w:t>1</w:t>
      </w:r>
      <w:r w:rsidR="00F241E5" w:rsidRPr="00F241E5">
        <w:rPr>
          <w:rFonts w:ascii="Times New Roman" w:hAnsi="Times New Roman" w:cs="Times New Roman"/>
          <w:b/>
          <w:bCs/>
          <w:color w:val="000000" w:themeColor="text1"/>
        </w:rPr>
        <w:t xml:space="preserve">: </w:t>
      </w:r>
      <w:r w:rsidR="00F241E5">
        <w:rPr>
          <w:rFonts w:ascii="Times New Roman" w:hAnsi="Times New Roman" w:cs="Times New Roman"/>
          <w:color w:val="000000" w:themeColor="text1"/>
        </w:rPr>
        <w:t xml:space="preserve">Cave and sample information. A) Plan view of </w:t>
      </w:r>
      <w:proofErr w:type="spellStart"/>
      <w:r w:rsidR="00F241E5">
        <w:rPr>
          <w:rFonts w:ascii="Times New Roman" w:hAnsi="Times New Roman" w:cs="Times New Roman"/>
          <w:color w:val="000000" w:themeColor="text1"/>
        </w:rPr>
        <w:t>Larga</w:t>
      </w:r>
      <w:proofErr w:type="spellEnd"/>
      <w:r w:rsidR="00F241E5">
        <w:rPr>
          <w:rFonts w:ascii="Times New Roman" w:hAnsi="Times New Roman" w:cs="Times New Roman"/>
          <w:color w:val="000000" w:themeColor="text1"/>
        </w:rPr>
        <w:t xml:space="preserve"> Cave</w:t>
      </w:r>
      <w:r w:rsidR="006C7B41">
        <w:rPr>
          <w:rFonts w:ascii="Times New Roman" w:hAnsi="Times New Roman" w:cs="Times New Roman"/>
          <w:color w:val="000000" w:themeColor="text1"/>
        </w:rPr>
        <w:t xml:space="preserve"> with locations of speleothems PR-LA-1 (Warken et al., 2020) and B1 (this study). B) Scans of both speleothems indicating the different sizes and diameters.</w:t>
      </w:r>
    </w:p>
    <w:p w14:paraId="6EBFD6EF" w14:textId="50A57BD8" w:rsidR="00725FC4" w:rsidRDefault="00725FC4">
      <w:r>
        <w:br w:type="page"/>
      </w:r>
    </w:p>
    <w:p w14:paraId="19E1B4B9" w14:textId="77777777" w:rsidR="00725FC4" w:rsidRDefault="00725FC4" w:rsidP="00725FC4">
      <w:pPr>
        <w:keepNext/>
      </w:pPr>
      <w:r>
        <w:rPr>
          <w:noProof/>
        </w:rPr>
        <w:lastRenderedPageBreak/>
        <w:drawing>
          <wp:inline distT="0" distB="0" distL="0" distR="0" wp14:anchorId="14C33531" wp14:editId="0C08C11A">
            <wp:extent cx="5731510" cy="3621450"/>
            <wp:effectExtent l="0" t="0" r="0" b="0"/>
            <wp:docPr id="137076894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70768947" name="Picture 1"/>
                    <pic:cNvPicPr/>
                  </pic:nvPicPr>
                  <pic:blipFill>
                    <a:blip r:embed="rId6" cstate="print">
                      <a:extLst>
                        <a:ext uri="{28A0092B-C50C-407E-A947-70E740481C1C}">
                          <a14:useLocalDpi xmlns:a14="http://schemas.microsoft.com/office/drawing/2010/main" val="0"/>
                        </a:ext>
                      </a:extLst>
                    </a:blip>
                    <a:stretch>
                      <a:fillRect/>
                    </a:stretch>
                  </pic:blipFill>
                  <pic:spPr>
                    <a:xfrm>
                      <a:off x="0" y="0"/>
                      <a:ext cx="5731510" cy="3621450"/>
                    </a:xfrm>
                    <a:prstGeom prst="rect">
                      <a:avLst/>
                    </a:prstGeom>
                  </pic:spPr>
                </pic:pic>
              </a:graphicData>
            </a:graphic>
          </wp:inline>
        </w:drawing>
      </w:r>
    </w:p>
    <w:p w14:paraId="02DED63B" w14:textId="4E533184" w:rsidR="00725FC4" w:rsidRPr="00156965" w:rsidRDefault="00725FC4" w:rsidP="00725FC4">
      <w:pPr>
        <w:pStyle w:val="Caption"/>
        <w:rPr>
          <w:rFonts w:ascii="Times New Roman" w:hAnsi="Times New Roman" w:cs="Times New Roman"/>
          <w:color w:val="000000" w:themeColor="text1"/>
        </w:rPr>
      </w:pPr>
      <w:r w:rsidRPr="00725FC4">
        <w:rPr>
          <w:rFonts w:ascii="Times New Roman" w:hAnsi="Times New Roman" w:cs="Times New Roman"/>
          <w:b/>
          <w:bCs/>
          <w:color w:val="000000" w:themeColor="text1"/>
        </w:rPr>
        <w:t xml:space="preserve">Figure </w:t>
      </w:r>
      <w:r w:rsidRPr="00156965">
        <w:rPr>
          <w:rFonts w:ascii="Times New Roman" w:hAnsi="Times New Roman" w:cs="Times New Roman"/>
          <w:b/>
          <w:bCs/>
          <w:color w:val="000000" w:themeColor="text1"/>
        </w:rPr>
        <w:t>S2:</w:t>
      </w:r>
      <w:r w:rsidR="00156965" w:rsidRPr="00156965">
        <w:rPr>
          <w:rFonts w:ascii="Times New Roman" w:hAnsi="Times New Roman" w:cs="Times New Roman"/>
          <w:b/>
          <w:bCs/>
          <w:color w:val="000000" w:themeColor="text1"/>
        </w:rPr>
        <w:t xml:space="preserve"> </w:t>
      </w:r>
      <w:r w:rsidR="00156965" w:rsidRPr="00156965">
        <w:rPr>
          <w:rFonts w:ascii="Times New Roman" w:hAnsi="Times New Roman" w:cs="Times New Roman"/>
          <w:color w:val="000000" w:themeColor="text1"/>
        </w:rPr>
        <w:t>Screenshot of the configuration file panel, where changes in relevant constants and correction factors can be implemented.</w:t>
      </w:r>
    </w:p>
    <w:p w14:paraId="06BE47D8" w14:textId="7A1B610C" w:rsidR="000D4C9E" w:rsidRDefault="000D4C9E">
      <w:r w:rsidRPr="00156965">
        <w:br w:type="page"/>
      </w:r>
    </w:p>
    <w:p w14:paraId="330CA32C" w14:textId="06DC8BE8" w:rsidR="002F0237" w:rsidRDefault="002F0237">
      <w:r w:rsidRPr="004407C4">
        <w:rPr>
          <w:noProof/>
        </w:rPr>
        <w:lastRenderedPageBreak/>
        <w:drawing>
          <wp:inline distT="0" distB="0" distL="0" distR="0" wp14:anchorId="55EFEA3E" wp14:editId="6FFA37BE">
            <wp:extent cx="5685789" cy="3779247"/>
            <wp:effectExtent l="0" t="0" r="4445" b="5715"/>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pic:cNvPicPr>
                      <a:picLocks noChangeAspect="1" noChangeArrowheads="1"/>
                    </pic:cNvPicPr>
                  </pic:nvPicPr>
                  <pic:blipFill rotWithShape="1">
                    <a:blip r:embed="rId7">
                      <a:extLst>
                        <a:ext uri="{28A0092B-C50C-407E-A947-70E740481C1C}">
                          <a14:useLocalDpi xmlns:a14="http://schemas.microsoft.com/office/drawing/2010/main" val="0"/>
                        </a:ext>
                      </a:extLst>
                    </a:blip>
                    <a:srcRect t="3555"/>
                    <a:stretch/>
                  </pic:blipFill>
                  <pic:spPr bwMode="auto">
                    <a:xfrm>
                      <a:off x="0" y="0"/>
                      <a:ext cx="5762808" cy="3830441"/>
                    </a:xfrm>
                    <a:prstGeom prst="rect">
                      <a:avLst/>
                    </a:prstGeom>
                    <a:noFill/>
                    <a:ln>
                      <a:noFill/>
                    </a:ln>
                    <a:extLst>
                      <a:ext uri="{53640926-AAD7-44D8-BBD7-CCE9431645EC}">
                        <a14:shadowObscured xmlns:a14="http://schemas.microsoft.com/office/drawing/2010/main"/>
                      </a:ext>
                    </a:extLst>
                  </pic:spPr>
                </pic:pic>
              </a:graphicData>
            </a:graphic>
          </wp:inline>
        </w:drawing>
      </w:r>
    </w:p>
    <w:p w14:paraId="1C345D7A" w14:textId="3C5C3725" w:rsidR="002F0237" w:rsidRPr="00156965" w:rsidRDefault="002F0237" w:rsidP="002F0237">
      <w:pPr>
        <w:pStyle w:val="Caption"/>
      </w:pPr>
      <w:r w:rsidRPr="00F241E5">
        <w:rPr>
          <w:rFonts w:ascii="Times New Roman" w:hAnsi="Times New Roman" w:cs="Times New Roman"/>
          <w:b/>
          <w:bCs/>
          <w:color w:val="000000" w:themeColor="text1"/>
        </w:rPr>
        <w:t>Figure</w:t>
      </w:r>
      <w:r w:rsidRPr="00725FC4">
        <w:rPr>
          <w:rFonts w:ascii="Times New Roman" w:hAnsi="Times New Roman" w:cs="Times New Roman"/>
          <w:b/>
          <w:bCs/>
          <w:color w:val="000000" w:themeColor="text1"/>
        </w:rPr>
        <w:t xml:space="preserve"> </w:t>
      </w:r>
      <w:r>
        <w:rPr>
          <w:rFonts w:ascii="Times New Roman" w:hAnsi="Times New Roman" w:cs="Times New Roman"/>
          <w:b/>
          <w:bCs/>
          <w:color w:val="000000" w:themeColor="text1"/>
        </w:rPr>
        <w:t>S3</w:t>
      </w:r>
      <w:r w:rsidRPr="00F241E5">
        <w:rPr>
          <w:rFonts w:ascii="Times New Roman" w:hAnsi="Times New Roman" w:cs="Times New Roman"/>
          <w:b/>
          <w:bCs/>
          <w:color w:val="000000" w:themeColor="text1"/>
        </w:rPr>
        <w:t xml:space="preserve">: </w:t>
      </w:r>
      <w:r w:rsidRPr="002F0237">
        <w:rPr>
          <w:rFonts w:ascii="Times New Roman" w:hAnsi="Times New Roman" w:cs="Times New Roman"/>
          <w:color w:val="000000" w:themeColor="text1"/>
        </w:rPr>
        <w:t xml:space="preserve">230Th/U ages and different age-depth simulations for stalagmite B1 using linear interpolation, as well as the algorithms </w:t>
      </w:r>
      <w:proofErr w:type="spellStart"/>
      <w:r w:rsidRPr="002F0237">
        <w:rPr>
          <w:rFonts w:ascii="Times New Roman" w:hAnsi="Times New Roman" w:cs="Times New Roman"/>
          <w:color w:val="000000" w:themeColor="text1"/>
        </w:rPr>
        <w:t>StalAge</w:t>
      </w:r>
      <w:proofErr w:type="spellEnd"/>
      <w:r w:rsidRPr="002F0237">
        <w:rPr>
          <w:rFonts w:ascii="Times New Roman" w:hAnsi="Times New Roman" w:cs="Times New Roman"/>
          <w:color w:val="000000" w:themeColor="text1"/>
        </w:rPr>
        <w:t xml:space="preserve"> (Scholz and Hoffmann, 2011), </w:t>
      </w:r>
      <w:proofErr w:type="spellStart"/>
      <w:r w:rsidRPr="002F0237">
        <w:rPr>
          <w:rFonts w:ascii="Times New Roman" w:hAnsi="Times New Roman" w:cs="Times New Roman"/>
          <w:color w:val="000000" w:themeColor="text1"/>
        </w:rPr>
        <w:t>CopRa</w:t>
      </w:r>
      <w:proofErr w:type="spellEnd"/>
      <w:r w:rsidRPr="002F0237">
        <w:rPr>
          <w:rFonts w:ascii="Times New Roman" w:hAnsi="Times New Roman" w:cs="Times New Roman"/>
          <w:color w:val="000000" w:themeColor="text1"/>
        </w:rPr>
        <w:t xml:space="preserve"> (</w:t>
      </w:r>
      <w:proofErr w:type="spellStart"/>
      <w:r w:rsidRPr="002F0237">
        <w:rPr>
          <w:rFonts w:ascii="Times New Roman" w:hAnsi="Times New Roman" w:cs="Times New Roman"/>
          <w:color w:val="000000" w:themeColor="text1"/>
        </w:rPr>
        <w:t>Breitenbach</w:t>
      </w:r>
      <w:proofErr w:type="spellEnd"/>
      <w:r w:rsidRPr="002F0237">
        <w:rPr>
          <w:rFonts w:ascii="Times New Roman" w:hAnsi="Times New Roman" w:cs="Times New Roman"/>
          <w:color w:val="000000" w:themeColor="text1"/>
        </w:rPr>
        <w:t xml:space="preserve"> et al., 2012) and </w:t>
      </w:r>
      <w:proofErr w:type="spellStart"/>
      <w:r w:rsidRPr="002F0237">
        <w:rPr>
          <w:rFonts w:ascii="Times New Roman" w:hAnsi="Times New Roman" w:cs="Times New Roman"/>
          <w:color w:val="000000" w:themeColor="text1"/>
        </w:rPr>
        <w:t>Bchron</w:t>
      </w:r>
      <w:proofErr w:type="spellEnd"/>
      <w:r w:rsidRPr="002F0237">
        <w:rPr>
          <w:rFonts w:ascii="Times New Roman" w:hAnsi="Times New Roman" w:cs="Times New Roman"/>
          <w:color w:val="000000" w:themeColor="text1"/>
        </w:rPr>
        <w:t xml:space="preserve"> (Haslett and Parnell, 2008). Note that the axes are split at the position of the growth stop at 23mm </w:t>
      </w:r>
      <w:proofErr w:type="spellStart"/>
      <w:r w:rsidRPr="002F0237">
        <w:rPr>
          <w:rFonts w:ascii="Times New Roman" w:hAnsi="Times New Roman" w:cs="Times New Roman"/>
          <w:color w:val="000000" w:themeColor="text1"/>
        </w:rPr>
        <w:t>dft</w:t>
      </w:r>
      <w:proofErr w:type="spellEnd"/>
      <w:r w:rsidRPr="002F0237">
        <w:rPr>
          <w:rFonts w:ascii="Times New Roman" w:hAnsi="Times New Roman" w:cs="Times New Roman"/>
          <w:color w:val="000000" w:themeColor="text1"/>
        </w:rPr>
        <w:t xml:space="preserve"> to visualize the age-depth relationship also during the short growth phase during the latest Holocene after 0.3 ka BP.</w:t>
      </w:r>
    </w:p>
    <w:p w14:paraId="60F0C4A3" w14:textId="77777777" w:rsidR="002F0237" w:rsidRPr="004407C4" w:rsidRDefault="002F0237" w:rsidP="002F0237">
      <w:pPr>
        <w:keepNext/>
        <w:spacing w:before="120"/>
      </w:pPr>
      <w:r w:rsidRPr="004407C4">
        <w:rPr>
          <w:noProof/>
        </w:rPr>
        <w:lastRenderedPageBreak/>
        <w:drawing>
          <wp:inline distT="0" distB="0" distL="0" distR="0" wp14:anchorId="1BAD8511" wp14:editId="6AD6AF5F">
            <wp:extent cx="5669280" cy="3998776"/>
            <wp:effectExtent l="0" t="0" r="0" b="1905"/>
            <wp:docPr id="2" name="Picture 1">
              <a:extLst xmlns:a="http://schemas.openxmlformats.org/drawingml/2006/main">
                <a:ext uri="{FF2B5EF4-FFF2-40B4-BE49-F238E27FC236}">
                  <a16:creationId xmlns:a16="http://schemas.microsoft.com/office/drawing/2014/main" id="{7D195970-733F-9A97-5F25-8DF4AA77C27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1">
                      <a:extLst>
                        <a:ext uri="{FF2B5EF4-FFF2-40B4-BE49-F238E27FC236}">
                          <a16:creationId xmlns:a16="http://schemas.microsoft.com/office/drawing/2014/main" id="{7D195970-733F-9A97-5F25-8DF4AA77C271}"/>
                        </a:ext>
                      </a:extLst>
                    </pic:cNvPr>
                    <pic:cNvPicPr>
                      <a:picLocks noChangeAspect="1"/>
                    </pic:cNvPicPr>
                  </pic:nvPicPr>
                  <pic:blipFill rotWithShape="1">
                    <a:blip r:embed="rId8"/>
                    <a:srcRect t="1476" r="1086" b="1687"/>
                    <a:stretch/>
                  </pic:blipFill>
                  <pic:spPr bwMode="auto">
                    <a:xfrm>
                      <a:off x="0" y="0"/>
                      <a:ext cx="5669280" cy="3998776"/>
                    </a:xfrm>
                    <a:prstGeom prst="rect">
                      <a:avLst/>
                    </a:prstGeom>
                    <a:ln>
                      <a:noFill/>
                    </a:ln>
                    <a:extLst>
                      <a:ext uri="{53640926-AAD7-44D8-BBD7-CCE9431645EC}">
                        <a14:shadowObscured xmlns:a14="http://schemas.microsoft.com/office/drawing/2010/main"/>
                      </a:ext>
                    </a:extLst>
                  </pic:spPr>
                </pic:pic>
              </a:graphicData>
            </a:graphic>
          </wp:inline>
        </w:drawing>
      </w:r>
    </w:p>
    <w:p w14:paraId="0FB4870C" w14:textId="3F4C0175" w:rsidR="002F0237" w:rsidRPr="004407C4" w:rsidRDefault="002F0237" w:rsidP="002F0237">
      <w:pPr>
        <w:pStyle w:val="Caption"/>
        <w:jc w:val="both"/>
        <w:rPr>
          <w:b/>
          <w:bCs/>
        </w:rPr>
        <w:sectPr w:rsidR="002F0237" w:rsidRPr="004407C4" w:rsidSect="0064059F">
          <w:pgSz w:w="11906" w:h="16838"/>
          <w:pgMar w:top="1440" w:right="1440" w:bottom="1440" w:left="1440" w:header="709" w:footer="709" w:gutter="0"/>
          <w:lnNumType w:countBy="1" w:restart="continuous"/>
          <w:cols w:space="708"/>
          <w:docGrid w:linePitch="360"/>
        </w:sectPr>
      </w:pPr>
      <w:r w:rsidRPr="00F241E5">
        <w:rPr>
          <w:rFonts w:ascii="Times New Roman" w:hAnsi="Times New Roman" w:cs="Times New Roman"/>
          <w:b/>
          <w:bCs/>
          <w:color w:val="000000" w:themeColor="text1"/>
        </w:rPr>
        <w:t>Figure</w:t>
      </w:r>
      <w:r w:rsidRPr="00725FC4">
        <w:rPr>
          <w:rFonts w:ascii="Times New Roman" w:hAnsi="Times New Roman" w:cs="Times New Roman"/>
          <w:b/>
          <w:bCs/>
          <w:color w:val="000000" w:themeColor="text1"/>
        </w:rPr>
        <w:t xml:space="preserve"> </w:t>
      </w:r>
      <w:r>
        <w:rPr>
          <w:rFonts w:ascii="Times New Roman" w:hAnsi="Times New Roman" w:cs="Times New Roman"/>
          <w:b/>
          <w:bCs/>
          <w:color w:val="000000" w:themeColor="text1"/>
        </w:rPr>
        <w:t>S4</w:t>
      </w:r>
      <w:r w:rsidRPr="00F241E5">
        <w:rPr>
          <w:rFonts w:ascii="Times New Roman" w:hAnsi="Times New Roman" w:cs="Times New Roman"/>
          <w:b/>
          <w:bCs/>
          <w:color w:val="000000" w:themeColor="text1"/>
        </w:rPr>
        <w:t xml:space="preserve">: </w:t>
      </w:r>
      <w:r w:rsidRPr="002F0237">
        <w:rPr>
          <w:rFonts w:ascii="Times New Roman" w:hAnsi="Times New Roman" w:cs="Times New Roman"/>
          <w:color w:val="000000" w:themeColor="text1"/>
        </w:rPr>
        <w:t xml:space="preserve">Growth rates of speleothems B1 (top panel, this study) and PR-LA-1 </w:t>
      </w:r>
      <w:r w:rsidRPr="002F0237">
        <w:rPr>
          <w:rFonts w:ascii="Times New Roman" w:hAnsi="Times New Roman" w:cs="Times New Roman"/>
          <w:b/>
          <w:bCs/>
          <w:color w:val="000000" w:themeColor="text1"/>
        </w:rPr>
        <w:fldChar w:fldCharType="begin"/>
      </w:r>
      <w:r w:rsidRPr="002F0237">
        <w:rPr>
          <w:rFonts w:ascii="Times New Roman" w:hAnsi="Times New Roman" w:cs="Times New Roman"/>
          <w:color w:val="000000" w:themeColor="text1"/>
        </w:rPr>
        <w:instrText xml:space="preserve"> ADDIN EN.CITE &lt;EndNote&gt;&lt;Cite&gt;&lt;Author&gt;Warken&lt;/Author&gt;&lt;Year&gt;2020&lt;/Year&gt;&lt;RecNum&gt;3822&lt;/RecNum&gt;&lt;DisplayText&gt;(Warken et al., 2020)&lt;/DisplayText&gt;&lt;record&gt;&lt;rec-number&gt;3822&lt;/rec-number&gt;&lt;foreign-keys&gt;&lt;key app="EN" db-id="drwzd00x3z22d2edtwppz9x7rt0r2zdaas5w" timestamp="1716098067"&gt;3822&lt;/key&gt;&lt;/foreign-keys&gt;&lt;ref-type name="Journal Article"&gt;17&lt;/ref-type&gt;&lt;contributors&gt;&lt;authors&gt;&lt;author&gt;Warken, Sophie F.&lt;/author&gt;&lt;author&gt;Vieten, Rolf&lt;/author&gt;&lt;author&gt;Winter, Amos&lt;/author&gt;&lt;author&gt;Spötl, Christoph&lt;/author&gt;&lt;author&gt;Miller, Thomas E.&lt;/author&gt;&lt;author&gt;Jochum, Klaus P.&lt;/author&gt;&lt;author&gt;Schröder‐Ritzrau, Andrea&lt;/author&gt;&lt;author&gt;Mangini, Augusto&lt;/author&gt;&lt;author&gt;Scholz, Denis&lt;/author&gt;&lt;/authors&gt;&lt;/contributors&gt;&lt;titles&gt;&lt;title&gt;Persistent Link Between Caribbean Precipitation and Atlantic Ocean Circulation During the Last Glacial Revealed by a Speleothem Record From Puerto Rico&lt;/title&gt;&lt;secondary-title&gt;Paleoceanography and Paleoclimatology&lt;/secondary-title&gt;&lt;/titles&gt;&lt;periodical&gt;&lt;full-title&gt;Paleoceanography and Paleoclimatology&lt;/full-title&gt;&lt;/periodical&gt;&lt;volume&gt;35&lt;/volume&gt;&lt;number&gt;11&lt;/number&gt;&lt;dates&gt;&lt;year&gt;2020&lt;/year&gt;&lt;/dates&gt;&lt;isbn&gt;2572-4517&amp;#xD;2572-4525&lt;/isbn&gt;&lt;urls&gt;&lt;/urls&gt;&lt;electronic-resource-num&gt;10.1029/2020pa003944&lt;/electronic-resource-num&gt;&lt;/record&gt;&lt;/Cite&gt;&lt;/EndNote&gt;</w:instrText>
      </w:r>
      <w:r w:rsidRPr="002F0237">
        <w:rPr>
          <w:rFonts w:ascii="Times New Roman" w:hAnsi="Times New Roman" w:cs="Times New Roman"/>
          <w:b/>
          <w:bCs/>
          <w:color w:val="000000" w:themeColor="text1"/>
        </w:rPr>
        <w:fldChar w:fldCharType="separate"/>
      </w:r>
      <w:r w:rsidRPr="002F0237">
        <w:rPr>
          <w:rFonts w:ascii="Times New Roman" w:hAnsi="Times New Roman" w:cs="Times New Roman"/>
          <w:noProof/>
          <w:color w:val="000000" w:themeColor="text1"/>
        </w:rPr>
        <w:t>(Warken et al., 2020)</w:t>
      </w:r>
      <w:r w:rsidRPr="002F0237">
        <w:rPr>
          <w:rFonts w:ascii="Times New Roman" w:hAnsi="Times New Roman" w:cs="Times New Roman"/>
          <w:b/>
          <w:bCs/>
          <w:color w:val="000000" w:themeColor="text1"/>
        </w:rPr>
        <w:fldChar w:fldCharType="end"/>
      </w:r>
      <w:r>
        <w:rPr>
          <w:rFonts w:ascii="Times New Roman" w:hAnsi="Times New Roman" w:cs="Times New Roman"/>
          <w:color w:val="000000" w:themeColor="text1"/>
        </w:rPr>
        <w:t xml:space="preserve"> </w:t>
      </w:r>
      <w:r w:rsidRPr="002F0237">
        <w:rPr>
          <w:rFonts w:ascii="Times New Roman" w:hAnsi="Times New Roman" w:cs="Times New Roman"/>
          <w:color w:val="000000" w:themeColor="text1"/>
        </w:rPr>
        <w:t xml:space="preserve">obtained by linear interpolation, as well as </w:t>
      </w:r>
      <w:r>
        <w:rPr>
          <w:rFonts w:ascii="Times New Roman" w:hAnsi="Times New Roman" w:cs="Times New Roman"/>
          <w:color w:val="000000" w:themeColor="text1"/>
        </w:rPr>
        <w:t xml:space="preserve">using </w:t>
      </w:r>
      <w:r w:rsidRPr="002F0237">
        <w:rPr>
          <w:rFonts w:ascii="Times New Roman" w:hAnsi="Times New Roman" w:cs="Times New Roman"/>
          <w:color w:val="000000" w:themeColor="text1"/>
        </w:rPr>
        <w:t xml:space="preserve">the algorithms </w:t>
      </w:r>
      <w:proofErr w:type="spellStart"/>
      <w:r w:rsidRPr="002F0237">
        <w:rPr>
          <w:rFonts w:ascii="Times New Roman" w:hAnsi="Times New Roman" w:cs="Times New Roman"/>
          <w:color w:val="000000" w:themeColor="text1"/>
        </w:rPr>
        <w:t>StalAge</w:t>
      </w:r>
      <w:proofErr w:type="spellEnd"/>
      <w:r w:rsidRPr="002F0237">
        <w:rPr>
          <w:rFonts w:ascii="Times New Roman" w:hAnsi="Times New Roman" w:cs="Times New Roman"/>
          <w:color w:val="000000" w:themeColor="text1"/>
        </w:rPr>
        <w:t xml:space="preserve"> (Scholz and Hoffmann, 2011), </w:t>
      </w:r>
      <w:proofErr w:type="spellStart"/>
      <w:r w:rsidRPr="002F0237">
        <w:rPr>
          <w:rFonts w:ascii="Times New Roman" w:hAnsi="Times New Roman" w:cs="Times New Roman"/>
          <w:color w:val="000000" w:themeColor="text1"/>
        </w:rPr>
        <w:t>CopRa</w:t>
      </w:r>
      <w:proofErr w:type="spellEnd"/>
      <w:r w:rsidRPr="002F0237">
        <w:rPr>
          <w:rFonts w:ascii="Times New Roman" w:hAnsi="Times New Roman" w:cs="Times New Roman"/>
          <w:color w:val="000000" w:themeColor="text1"/>
        </w:rPr>
        <w:t xml:space="preserve"> (</w:t>
      </w:r>
      <w:proofErr w:type="spellStart"/>
      <w:r w:rsidRPr="002F0237">
        <w:rPr>
          <w:rFonts w:ascii="Times New Roman" w:hAnsi="Times New Roman" w:cs="Times New Roman"/>
          <w:color w:val="000000" w:themeColor="text1"/>
        </w:rPr>
        <w:t>Breitenbach</w:t>
      </w:r>
      <w:proofErr w:type="spellEnd"/>
      <w:r w:rsidRPr="002F0237">
        <w:rPr>
          <w:rFonts w:ascii="Times New Roman" w:hAnsi="Times New Roman" w:cs="Times New Roman"/>
          <w:color w:val="000000" w:themeColor="text1"/>
        </w:rPr>
        <w:t xml:space="preserve"> et al., 2012) and </w:t>
      </w:r>
      <w:proofErr w:type="spellStart"/>
      <w:r w:rsidRPr="002F0237">
        <w:rPr>
          <w:rFonts w:ascii="Times New Roman" w:hAnsi="Times New Roman" w:cs="Times New Roman"/>
          <w:color w:val="000000" w:themeColor="text1"/>
        </w:rPr>
        <w:t>Bchron</w:t>
      </w:r>
      <w:proofErr w:type="spellEnd"/>
      <w:r w:rsidRPr="002F0237">
        <w:rPr>
          <w:rFonts w:ascii="Times New Roman" w:hAnsi="Times New Roman" w:cs="Times New Roman"/>
          <w:color w:val="000000" w:themeColor="text1"/>
        </w:rPr>
        <w:t xml:space="preserve"> (Haslett and Parnell, 2008) as implemented by </w:t>
      </w:r>
      <w:proofErr w:type="spellStart"/>
      <w:r w:rsidRPr="002F0237">
        <w:rPr>
          <w:rFonts w:ascii="Times New Roman" w:hAnsi="Times New Roman" w:cs="Times New Roman"/>
          <w:color w:val="000000" w:themeColor="text1"/>
        </w:rPr>
        <w:t>Roesch</w:t>
      </w:r>
      <w:proofErr w:type="spellEnd"/>
      <w:r w:rsidRPr="002F0237">
        <w:rPr>
          <w:rFonts w:ascii="Times New Roman" w:hAnsi="Times New Roman" w:cs="Times New Roman"/>
          <w:color w:val="000000" w:themeColor="text1"/>
        </w:rPr>
        <w:t xml:space="preserve"> and </w:t>
      </w:r>
      <w:proofErr w:type="spellStart"/>
      <w:r w:rsidRPr="002F0237">
        <w:rPr>
          <w:rFonts w:ascii="Times New Roman" w:hAnsi="Times New Roman" w:cs="Times New Roman"/>
          <w:color w:val="000000" w:themeColor="text1"/>
        </w:rPr>
        <w:t>Rehfeld</w:t>
      </w:r>
      <w:proofErr w:type="spellEnd"/>
      <w:r w:rsidRPr="002F0237">
        <w:rPr>
          <w:rFonts w:ascii="Times New Roman" w:hAnsi="Times New Roman" w:cs="Times New Roman"/>
          <w:color w:val="000000" w:themeColor="text1"/>
        </w:rPr>
        <w:t xml:space="preserve"> (2020) (code accessed at https://github.com/paleovar/SISAL.AM, codes licensed by the right holder(s) under a GPL-3). Vertical red (blue) bars indicate the timing of warm (cold) phases in Puerto Rico, including the growth phase of B1 during the latest Holocene (0.3 ka BP to present), the Younger Dryas (YD), </w:t>
      </w:r>
      <w:proofErr w:type="spellStart"/>
      <w:r w:rsidRPr="002F0237">
        <w:rPr>
          <w:rFonts w:ascii="Times New Roman" w:hAnsi="Times New Roman" w:cs="Times New Roman"/>
          <w:color w:val="000000" w:themeColor="text1"/>
        </w:rPr>
        <w:t>Bølling</w:t>
      </w:r>
      <w:proofErr w:type="spellEnd"/>
      <w:r w:rsidRPr="002F0237">
        <w:rPr>
          <w:rFonts w:ascii="Times New Roman" w:hAnsi="Times New Roman" w:cs="Times New Roman"/>
          <w:color w:val="000000" w:themeColor="text1"/>
        </w:rPr>
        <w:t>/</w:t>
      </w:r>
      <w:proofErr w:type="spellStart"/>
      <w:r w:rsidRPr="002F0237">
        <w:rPr>
          <w:rFonts w:ascii="Times New Roman" w:hAnsi="Times New Roman" w:cs="Times New Roman"/>
          <w:color w:val="000000" w:themeColor="text1"/>
        </w:rPr>
        <w:t>Allerød</w:t>
      </w:r>
      <w:proofErr w:type="spellEnd"/>
      <w:r w:rsidRPr="002F0237">
        <w:rPr>
          <w:rFonts w:ascii="Times New Roman" w:hAnsi="Times New Roman" w:cs="Times New Roman"/>
          <w:color w:val="000000" w:themeColor="text1"/>
        </w:rPr>
        <w:t xml:space="preserve"> warming (BA), and Heinrich </w:t>
      </w:r>
      <w:proofErr w:type="spellStart"/>
      <w:r w:rsidRPr="002F0237">
        <w:rPr>
          <w:rFonts w:ascii="Times New Roman" w:hAnsi="Times New Roman" w:cs="Times New Roman"/>
          <w:color w:val="000000" w:themeColor="text1"/>
        </w:rPr>
        <w:t>stadials</w:t>
      </w:r>
      <w:proofErr w:type="spellEnd"/>
      <w:r w:rsidRPr="002F0237">
        <w:rPr>
          <w:rFonts w:ascii="Times New Roman" w:hAnsi="Times New Roman" w:cs="Times New Roman"/>
          <w:color w:val="000000" w:themeColor="text1"/>
        </w:rPr>
        <w:t xml:space="preserve"> (HS) 1 to 4</w:t>
      </w:r>
    </w:p>
    <w:p w14:paraId="39CD51AD" w14:textId="77777777" w:rsidR="00725FC4" w:rsidRPr="000D4C9E" w:rsidRDefault="00725FC4" w:rsidP="00725FC4">
      <w:pPr>
        <w:rPr>
          <w:lang w:eastAsia="de-DE"/>
        </w:rPr>
      </w:pPr>
    </w:p>
    <w:p w14:paraId="778CF265" w14:textId="77777777" w:rsidR="00725FC4" w:rsidRPr="00725FC4" w:rsidRDefault="00725FC4" w:rsidP="00725FC4"/>
    <w:sectPr w:rsidR="00725FC4" w:rsidRPr="00725FC4">
      <w:pgSz w:w="11906" w:h="16838"/>
      <w:pgMar w:top="1440" w:right="1440" w:bottom="1440"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2AFF" w:usb1="C000247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Calibri Light">
    <w:panose1 w:val="020F0302020204030204"/>
    <w:charset w:val="00"/>
    <w:family w:val="swiss"/>
    <w:pitch w:val="variable"/>
    <w:sig w:usb0="E0002A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EF46634"/>
    <w:multiLevelType w:val="multilevel"/>
    <w:tmpl w:val="A8C89058"/>
    <w:lvl w:ilvl="0">
      <w:start w:val="1"/>
      <w:numFmt w:val="decimal"/>
      <w:lvlText w:val="%1"/>
      <w:lvlJc w:val="left"/>
      <w:pPr>
        <w:ind w:left="360" w:hanging="360"/>
      </w:pPr>
      <w:rPr>
        <w:rFonts w:ascii="Times New Roman" w:eastAsia="Times New Roman" w:hAnsi="Times New Roman" w:cs="Arial"/>
      </w:rPr>
    </w:lvl>
    <w:lvl w:ilvl="1">
      <w:start w:val="1"/>
      <w:numFmt w:val="decimal"/>
      <w:isLgl/>
      <w:lvlText w:val="%1.%2"/>
      <w:lvlJc w:val="left"/>
      <w:pPr>
        <w:ind w:left="0" w:hanging="360"/>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720" w:hanging="720"/>
      </w:pPr>
      <w:rPr>
        <w:rFonts w:hint="default"/>
      </w:rPr>
    </w:lvl>
    <w:lvl w:ilvl="4">
      <w:start w:val="1"/>
      <w:numFmt w:val="decimal"/>
      <w:isLgl/>
      <w:lvlText w:val="%1.%2.%3.%4.%5"/>
      <w:lvlJc w:val="left"/>
      <w:pPr>
        <w:ind w:left="720" w:hanging="72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080" w:hanging="108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440" w:hanging="1440"/>
      </w:pPr>
      <w:rPr>
        <w:rFonts w:hint="default"/>
      </w:rPr>
    </w:lvl>
  </w:abstractNum>
  <w:num w:numId="1" w16cid:durableId="324628050">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19"/>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76C5F"/>
    <w:rsid w:val="0004396D"/>
    <w:rsid w:val="000D4C9E"/>
    <w:rsid w:val="001143BB"/>
    <w:rsid w:val="00156965"/>
    <w:rsid w:val="001A19EB"/>
    <w:rsid w:val="002F0237"/>
    <w:rsid w:val="0033331C"/>
    <w:rsid w:val="00452DDB"/>
    <w:rsid w:val="004C489C"/>
    <w:rsid w:val="005212D9"/>
    <w:rsid w:val="005A6C4F"/>
    <w:rsid w:val="006C7B41"/>
    <w:rsid w:val="00725FC4"/>
    <w:rsid w:val="00913982"/>
    <w:rsid w:val="0096451B"/>
    <w:rsid w:val="009E0739"/>
    <w:rsid w:val="00AC6937"/>
    <w:rsid w:val="00B02C89"/>
    <w:rsid w:val="00C672A7"/>
    <w:rsid w:val="00D76C5F"/>
    <w:rsid w:val="00F241E5"/>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1C97C6A"/>
  <w15:chartTrackingRefBased/>
  <w15:docId w15:val="{81945378-1327-479F-9442-EDD5F263010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qFormat/>
    <w:rsid w:val="00452DDB"/>
    <w:pPr>
      <w:keepNext/>
      <w:spacing w:before="480" w:after="240" w:line="240" w:lineRule="auto"/>
      <w:jc w:val="both"/>
      <w:outlineLvl w:val="0"/>
    </w:pPr>
    <w:rPr>
      <w:rFonts w:ascii="Times New Roman" w:eastAsia="Times New Roman" w:hAnsi="Times New Roman" w:cs="Arial"/>
      <w:b/>
      <w:bCs/>
      <w:color w:val="000000"/>
      <w:kern w:val="32"/>
      <w:sz w:val="20"/>
      <w:szCs w:val="32"/>
      <w:lang w:val="en-GB" w:eastAsia="de-D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452DDB"/>
    <w:rPr>
      <w:rFonts w:ascii="Times New Roman" w:eastAsia="Times New Roman" w:hAnsi="Times New Roman" w:cs="Arial"/>
      <w:b/>
      <w:bCs/>
      <w:color w:val="000000"/>
      <w:kern w:val="32"/>
      <w:sz w:val="20"/>
      <w:szCs w:val="32"/>
      <w:lang w:val="en-GB" w:eastAsia="de-DE"/>
    </w:rPr>
  </w:style>
  <w:style w:type="table" w:styleId="TableGrid">
    <w:name w:val="Table Grid"/>
    <w:basedOn w:val="TableNormal"/>
    <w:uiPriority w:val="59"/>
    <w:rsid w:val="00452DDB"/>
    <w:pPr>
      <w:spacing w:after="0" w:line="240" w:lineRule="auto"/>
    </w:pPr>
    <w:rPr>
      <w:rFonts w:ascii="Calibri" w:eastAsia="SimSun" w:hAnsi="Calibri" w:cs="Times New Roman"/>
      <w:sz w:val="20"/>
      <w:szCs w:val="20"/>
      <w:lang w:val="de-DE" w:eastAsia="de-D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aption">
    <w:name w:val="caption"/>
    <w:basedOn w:val="Normal"/>
    <w:next w:val="Normal"/>
    <w:uiPriority w:val="35"/>
    <w:unhideWhenUsed/>
    <w:qFormat/>
    <w:rsid w:val="00452DDB"/>
    <w:pPr>
      <w:spacing w:after="200" w:line="240" w:lineRule="auto"/>
    </w:pPr>
    <w:rPr>
      <w:i/>
      <w:iCs/>
      <w:color w:val="44546A" w:themeColor="text2"/>
      <w:sz w:val="18"/>
      <w:szCs w:val="18"/>
    </w:rPr>
  </w:style>
  <w:style w:type="character" w:styleId="LineNumber">
    <w:name w:val="line number"/>
    <w:basedOn w:val="DefaultParagraphFont"/>
    <w:uiPriority w:val="99"/>
    <w:semiHidden/>
    <w:unhideWhenUsed/>
    <w:rsid w:val="002F0237"/>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png"/><Relationship Id="rId3" Type="http://schemas.openxmlformats.org/officeDocument/2006/relationships/settings" Target="settings.xml"/><Relationship Id="rId7" Type="http://schemas.openxmlformats.org/officeDocument/2006/relationships/image" Target="media/image3.pn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2.png"/><Relationship Id="rId5" Type="http://schemas.openxmlformats.org/officeDocument/2006/relationships/image" Target="media/image1.png"/><Relationship Id="rId10"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TotalTime>
  <Pages>5</Pages>
  <Words>409</Words>
  <Characters>2334</Characters>
  <Application>Microsoft Office Word</Application>
  <DocSecurity>0</DocSecurity>
  <Lines>19</Lines>
  <Paragraphs>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2738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I.</dc:creator>
  <cp:keywords/>
  <dc:description/>
  <cp:lastModifiedBy>Sophie Warken</cp:lastModifiedBy>
  <cp:revision>2</cp:revision>
  <dcterms:created xsi:type="dcterms:W3CDTF">2024-09-26T13:49:00Z</dcterms:created>
  <dcterms:modified xsi:type="dcterms:W3CDTF">2024-09-26T13:49:00Z</dcterms:modified>
</cp:coreProperties>
</file>