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EB676" w14:textId="3D268A2A" w:rsidR="00332F59" w:rsidRPr="00332F59" w:rsidRDefault="00332F59" w:rsidP="004F6209">
      <w:pPr>
        <w:spacing w:after="0" w:line="360" w:lineRule="auto"/>
        <w:jc w:val="center"/>
        <w:rPr>
          <w:rFonts w:ascii="Times New Roman" w:eastAsia="Times New Roman" w:hAnsi="Times New Roman" w:cs="Times New Roman"/>
          <w:b/>
          <w:bCs/>
          <w:kern w:val="0"/>
          <w:sz w:val="28"/>
          <w:szCs w:val="28"/>
          <w:u w:val="single"/>
          <w:lang w:eastAsia="en-GB"/>
          <w14:ligatures w14:val="none"/>
        </w:rPr>
      </w:pPr>
      <w:r w:rsidRPr="00332F59">
        <w:rPr>
          <w:rFonts w:ascii="Times New Roman" w:eastAsia="Times New Roman" w:hAnsi="Times New Roman" w:cs="Times New Roman"/>
          <w:b/>
          <w:bCs/>
          <w:kern w:val="0"/>
          <w:sz w:val="28"/>
          <w:szCs w:val="28"/>
          <w:u w:val="single"/>
          <w:lang w:eastAsia="en-GB"/>
          <w14:ligatures w14:val="none"/>
        </w:rPr>
        <w:t>Manuscript Supplement</w:t>
      </w:r>
    </w:p>
    <w:p w14:paraId="7A311668" w14:textId="77777777" w:rsidR="00332F59" w:rsidRDefault="00332F59" w:rsidP="00C13E1D">
      <w:pPr>
        <w:spacing w:after="0" w:line="360" w:lineRule="auto"/>
        <w:rPr>
          <w:rFonts w:ascii="Times New Roman" w:eastAsia="Times New Roman" w:hAnsi="Times New Roman" w:cs="Times New Roman"/>
          <w:b/>
          <w:bCs/>
          <w:kern w:val="0"/>
          <w:lang w:eastAsia="en-GB"/>
          <w14:ligatures w14:val="none"/>
        </w:rPr>
      </w:pPr>
    </w:p>
    <w:p w14:paraId="05AD09FF" w14:textId="77777777" w:rsidR="00332F59" w:rsidRDefault="00332F59" w:rsidP="00332F59">
      <w:pPr>
        <w:spacing w:after="0" w:line="360" w:lineRule="auto"/>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This supplement provides additional context for the main paper and is divided into the following sections: </w:t>
      </w:r>
    </w:p>
    <w:p w14:paraId="623360D1" w14:textId="02DE55BB" w:rsidR="00950B89" w:rsidRDefault="00332F59" w:rsidP="00332F59">
      <w:pPr>
        <w:spacing w:after="0" w:line="360" w:lineRule="auto"/>
        <w:rPr>
          <w:rFonts w:ascii="Times New Roman" w:eastAsia="Times New Roman" w:hAnsi="Times New Roman" w:cs="Times New Roman"/>
          <w:kern w:val="0"/>
          <w:sz w:val="20"/>
          <w:szCs w:val="20"/>
          <w:lang w:eastAsia="en-GB"/>
          <w14:ligatures w14:val="none"/>
        </w:rPr>
      </w:pPr>
      <w:r w:rsidRPr="00332F59">
        <w:rPr>
          <w:rFonts w:ascii="Times New Roman" w:eastAsia="Times New Roman" w:hAnsi="Times New Roman" w:cs="Times New Roman"/>
          <w:b/>
          <w:bCs/>
          <w:kern w:val="0"/>
          <w:sz w:val="20"/>
          <w:szCs w:val="20"/>
          <w:lang w:eastAsia="en-GB"/>
          <w14:ligatures w14:val="none"/>
        </w:rPr>
        <w:t>S1</w:t>
      </w:r>
      <w:r w:rsidRPr="00332F59">
        <w:rPr>
          <w:rFonts w:ascii="Times New Roman" w:eastAsia="Times New Roman" w:hAnsi="Times New Roman" w:cs="Times New Roman"/>
          <w:kern w:val="0"/>
          <w:sz w:val="20"/>
          <w:szCs w:val="20"/>
          <w:lang w:eastAsia="en-GB"/>
          <w14:ligatures w14:val="none"/>
        </w:rPr>
        <w:t xml:space="preserve"> - Geomorphic Context</w:t>
      </w:r>
      <w:r>
        <w:rPr>
          <w:rFonts w:ascii="Times New Roman" w:eastAsia="Times New Roman" w:hAnsi="Times New Roman" w:cs="Times New Roman"/>
          <w:kern w:val="0"/>
          <w:sz w:val="20"/>
          <w:szCs w:val="20"/>
          <w:lang w:eastAsia="en-GB"/>
          <w14:ligatures w14:val="none"/>
        </w:rPr>
        <w:t xml:space="preserve">, </w:t>
      </w:r>
      <w:r w:rsidR="00950B89" w:rsidRPr="00950B89">
        <w:rPr>
          <w:rFonts w:ascii="Times New Roman" w:eastAsia="Times New Roman" w:hAnsi="Times New Roman" w:cs="Times New Roman"/>
          <w:b/>
          <w:bCs/>
          <w:kern w:val="0"/>
          <w:sz w:val="20"/>
          <w:szCs w:val="20"/>
          <w:lang w:eastAsia="en-GB"/>
          <w14:ligatures w14:val="none"/>
        </w:rPr>
        <w:t>S2</w:t>
      </w:r>
      <w:r w:rsidR="005506D6">
        <w:rPr>
          <w:rFonts w:ascii="Times New Roman" w:eastAsia="Times New Roman" w:hAnsi="Times New Roman" w:cs="Times New Roman"/>
          <w:b/>
          <w:bCs/>
          <w:kern w:val="0"/>
          <w:sz w:val="20"/>
          <w:szCs w:val="20"/>
          <w:lang w:eastAsia="en-GB"/>
          <w14:ligatures w14:val="none"/>
        </w:rPr>
        <w:t xml:space="preserve"> </w:t>
      </w:r>
      <w:r w:rsidR="005506D6" w:rsidRPr="005506D6">
        <w:rPr>
          <w:rFonts w:ascii="Times New Roman" w:eastAsia="Times New Roman" w:hAnsi="Times New Roman" w:cs="Times New Roman"/>
          <w:kern w:val="0"/>
          <w:sz w:val="20"/>
          <w:szCs w:val="20"/>
          <w:lang w:eastAsia="en-GB"/>
          <w14:ligatures w14:val="none"/>
        </w:rPr>
        <w:t xml:space="preserve">- </w:t>
      </w:r>
      <w:r w:rsidR="005506D6" w:rsidRPr="005506D6">
        <w:rPr>
          <w:rFonts w:ascii="Times New Roman" w:hAnsi="Times New Roman" w:cs="Times New Roman"/>
          <w:sz w:val="20"/>
          <w:szCs w:val="20"/>
        </w:rPr>
        <w:t>Comparison of excess scatter of in situ</w:t>
      </w:r>
      <w:r w:rsidR="005506D6" w:rsidRPr="005506D6">
        <w:rPr>
          <w:rFonts w:ascii="Times New Roman" w:hAnsi="Times New Roman" w:cs="Times New Roman"/>
          <w:sz w:val="20"/>
          <w:szCs w:val="20"/>
          <w:vertAlign w:val="superscript"/>
        </w:rPr>
        <w:t xml:space="preserve"> 14</w:t>
      </w:r>
      <w:r w:rsidR="005506D6" w:rsidRPr="005506D6">
        <w:rPr>
          <w:rFonts w:ascii="Times New Roman" w:hAnsi="Times New Roman" w:cs="Times New Roman"/>
          <w:sz w:val="20"/>
          <w:szCs w:val="20"/>
        </w:rPr>
        <w:t xml:space="preserve">C and </w:t>
      </w:r>
      <w:r w:rsidR="005506D6" w:rsidRPr="005506D6">
        <w:rPr>
          <w:rFonts w:ascii="Times New Roman" w:hAnsi="Times New Roman" w:cs="Times New Roman"/>
          <w:sz w:val="20"/>
          <w:szCs w:val="20"/>
          <w:vertAlign w:val="superscript"/>
        </w:rPr>
        <w:t>10</w:t>
      </w:r>
      <w:r w:rsidR="005506D6" w:rsidRPr="005506D6">
        <w:rPr>
          <w:rFonts w:ascii="Times New Roman" w:hAnsi="Times New Roman" w:cs="Times New Roman"/>
          <w:sz w:val="20"/>
          <w:szCs w:val="20"/>
        </w:rPr>
        <w:t>Be data from Mt Murphy</w:t>
      </w:r>
    </w:p>
    <w:p w14:paraId="4D87D2D7" w14:textId="1FC3141F" w:rsidR="00332F59" w:rsidRPr="00332F59" w:rsidRDefault="00332F59" w:rsidP="00332F59">
      <w:pPr>
        <w:spacing w:after="0" w:line="360" w:lineRule="auto"/>
        <w:rPr>
          <w:rFonts w:ascii="Times New Roman" w:eastAsia="Times New Roman" w:hAnsi="Times New Roman" w:cs="Times New Roman"/>
          <w:kern w:val="0"/>
          <w:sz w:val="20"/>
          <w:szCs w:val="20"/>
          <w:lang w:eastAsia="en-GB"/>
          <w14:ligatures w14:val="none"/>
        </w:rPr>
      </w:pPr>
      <w:r w:rsidRPr="00332F59">
        <w:rPr>
          <w:rFonts w:ascii="Times New Roman" w:eastAsia="Times New Roman" w:hAnsi="Times New Roman" w:cs="Times New Roman"/>
          <w:b/>
          <w:bCs/>
          <w:kern w:val="0"/>
          <w:sz w:val="20"/>
          <w:szCs w:val="20"/>
          <w:lang w:eastAsia="en-GB"/>
          <w14:ligatures w14:val="none"/>
        </w:rPr>
        <w:t>S</w:t>
      </w:r>
      <w:r w:rsidR="00950B89">
        <w:rPr>
          <w:rFonts w:ascii="Times New Roman" w:eastAsia="Times New Roman" w:hAnsi="Times New Roman" w:cs="Times New Roman"/>
          <w:b/>
          <w:bCs/>
          <w:kern w:val="0"/>
          <w:sz w:val="20"/>
          <w:szCs w:val="20"/>
          <w:lang w:eastAsia="en-GB"/>
          <w14:ligatures w14:val="none"/>
        </w:rPr>
        <w:t>3</w:t>
      </w:r>
      <w:r w:rsidRPr="00332F59">
        <w:rPr>
          <w:rFonts w:ascii="Times New Roman" w:eastAsia="Times New Roman" w:hAnsi="Times New Roman" w:cs="Times New Roman"/>
          <w:b/>
          <w:bCs/>
          <w:kern w:val="0"/>
          <w:sz w:val="20"/>
          <w:szCs w:val="20"/>
          <w:lang w:eastAsia="en-GB"/>
          <w14:ligatures w14:val="none"/>
        </w:rPr>
        <w:t xml:space="preserve"> </w:t>
      </w:r>
      <w:r w:rsidRPr="00332F59">
        <w:rPr>
          <w:rFonts w:ascii="Times New Roman" w:eastAsia="Times New Roman" w:hAnsi="Times New Roman" w:cs="Times New Roman"/>
          <w:kern w:val="0"/>
          <w:sz w:val="20"/>
          <w:szCs w:val="20"/>
          <w:lang w:eastAsia="en-GB"/>
          <w14:ligatures w14:val="none"/>
        </w:rPr>
        <w:t xml:space="preserve">- Assessment of Mt Murphy quartz separates impact on in situ </w:t>
      </w:r>
      <w:r>
        <w:rPr>
          <w:rFonts w:ascii="Times New Roman" w:eastAsia="Times New Roman" w:hAnsi="Times New Roman" w:cs="Times New Roman"/>
          <w:kern w:val="0"/>
          <w:sz w:val="20"/>
          <w:szCs w:val="20"/>
          <w:vertAlign w:val="superscript"/>
          <w:lang w:eastAsia="en-GB"/>
          <w14:ligatures w14:val="none"/>
        </w:rPr>
        <w:t>14</w:t>
      </w:r>
      <w:r w:rsidRPr="00332F59">
        <w:rPr>
          <w:rFonts w:ascii="Times New Roman" w:eastAsia="Times New Roman" w:hAnsi="Times New Roman" w:cs="Times New Roman"/>
          <w:kern w:val="0"/>
          <w:sz w:val="20"/>
          <w:szCs w:val="20"/>
          <w:lang w:eastAsia="en-GB"/>
          <w14:ligatures w14:val="none"/>
        </w:rPr>
        <w:t>C reproducibility</w:t>
      </w:r>
      <w:r>
        <w:rPr>
          <w:rFonts w:ascii="Times New Roman" w:eastAsia="Times New Roman" w:hAnsi="Times New Roman" w:cs="Times New Roman"/>
          <w:kern w:val="0"/>
          <w:sz w:val="20"/>
          <w:szCs w:val="20"/>
          <w:lang w:eastAsia="en-GB"/>
          <w14:ligatures w14:val="none"/>
        </w:rPr>
        <w:t xml:space="preserve"> and </w:t>
      </w:r>
      <w:r w:rsidRPr="00332F59">
        <w:rPr>
          <w:rFonts w:ascii="Times New Roman" w:eastAsia="Times New Roman" w:hAnsi="Times New Roman" w:cs="Times New Roman"/>
          <w:b/>
          <w:bCs/>
          <w:kern w:val="0"/>
          <w:sz w:val="20"/>
          <w:szCs w:val="20"/>
          <w:lang w:eastAsia="en-GB"/>
          <w14:ligatures w14:val="none"/>
        </w:rPr>
        <w:t>S</w:t>
      </w:r>
      <w:r w:rsidR="005506D6">
        <w:rPr>
          <w:rFonts w:ascii="Times New Roman" w:eastAsia="Times New Roman" w:hAnsi="Times New Roman" w:cs="Times New Roman"/>
          <w:b/>
          <w:bCs/>
          <w:kern w:val="0"/>
          <w:sz w:val="20"/>
          <w:szCs w:val="20"/>
          <w:lang w:eastAsia="en-GB"/>
          <w14:ligatures w14:val="none"/>
        </w:rPr>
        <w:t>4</w:t>
      </w:r>
      <w:r w:rsidRPr="00332F59">
        <w:rPr>
          <w:rFonts w:ascii="Times New Roman" w:eastAsia="Times New Roman" w:hAnsi="Times New Roman" w:cs="Times New Roman"/>
          <w:kern w:val="0"/>
          <w:sz w:val="20"/>
          <w:szCs w:val="20"/>
          <w:lang w:eastAsia="en-GB"/>
          <w14:ligatures w14:val="none"/>
        </w:rPr>
        <w:t xml:space="preserve"> - Holocene filter age vs elevation plots and paired nuclide diagrams.</w:t>
      </w:r>
    </w:p>
    <w:p w14:paraId="6E75D49C" w14:textId="77777777" w:rsidR="00C13E1D" w:rsidRDefault="00C13E1D" w:rsidP="00C13E1D">
      <w:pPr>
        <w:spacing w:after="0" w:line="360" w:lineRule="auto"/>
        <w:rPr>
          <w:rFonts w:ascii="Times New Roman" w:eastAsia="Times New Roman" w:hAnsi="Times New Roman" w:cs="Times New Roman"/>
          <w:kern w:val="0"/>
          <w:sz w:val="20"/>
          <w:szCs w:val="20"/>
          <w:lang w:eastAsia="en-GB"/>
          <w14:ligatures w14:val="none"/>
        </w:rPr>
      </w:pPr>
    </w:p>
    <w:p w14:paraId="5CA9333C" w14:textId="1012E407" w:rsidR="00332F59" w:rsidRDefault="00332F59" w:rsidP="00C13E1D">
      <w:pPr>
        <w:spacing w:after="0" w:line="360" w:lineRule="auto"/>
        <w:rPr>
          <w:rFonts w:ascii="Times New Roman" w:hAnsi="Times New Roman" w:cs="Times New Roman"/>
          <w:b/>
          <w:bCs/>
        </w:rPr>
      </w:pPr>
      <w:r w:rsidRPr="00067527">
        <w:rPr>
          <w:rFonts w:ascii="Times New Roman" w:hAnsi="Times New Roman" w:cs="Times New Roman"/>
          <w:b/>
          <w:bCs/>
        </w:rPr>
        <w:t>Supplement S</w:t>
      </w:r>
      <w:r>
        <w:rPr>
          <w:rFonts w:ascii="Times New Roman" w:hAnsi="Times New Roman" w:cs="Times New Roman"/>
          <w:b/>
          <w:bCs/>
        </w:rPr>
        <w:t>1</w:t>
      </w:r>
      <w:r w:rsidRPr="00067527">
        <w:rPr>
          <w:rFonts w:ascii="Times New Roman" w:hAnsi="Times New Roman" w:cs="Times New Roman"/>
          <w:b/>
          <w:bCs/>
        </w:rPr>
        <w:t>:</w:t>
      </w:r>
      <w:r>
        <w:rPr>
          <w:rFonts w:ascii="Times New Roman" w:hAnsi="Times New Roman" w:cs="Times New Roman"/>
          <w:b/>
          <w:bCs/>
        </w:rPr>
        <w:t xml:space="preserve"> Geomorphic Context</w:t>
      </w:r>
    </w:p>
    <w:p w14:paraId="2B93214F" w14:textId="77777777" w:rsidR="00332F59" w:rsidRPr="000D0684" w:rsidRDefault="00332F59" w:rsidP="00C13E1D">
      <w:pPr>
        <w:spacing w:after="0" w:line="360" w:lineRule="auto"/>
        <w:rPr>
          <w:rFonts w:ascii="Times New Roman" w:eastAsia="Times New Roman" w:hAnsi="Times New Roman" w:cs="Times New Roman"/>
          <w:kern w:val="0"/>
          <w:sz w:val="20"/>
          <w:szCs w:val="20"/>
          <w:lang w:eastAsia="en-GB"/>
          <w14:ligatures w14:val="none"/>
        </w:rPr>
      </w:pPr>
    </w:p>
    <w:p w14:paraId="3DA9F2EE" w14:textId="504C1C8B" w:rsidR="00C13E1D" w:rsidRPr="000D0684" w:rsidRDefault="00C13E1D" w:rsidP="00C13E1D">
      <w:pPr>
        <w:spacing w:after="0" w:line="360" w:lineRule="auto"/>
        <w:rPr>
          <w:rFonts w:ascii="Times New Roman" w:eastAsia="Times New Roman" w:hAnsi="Times New Roman" w:cs="Times New Roman"/>
          <w:kern w:val="0"/>
          <w:sz w:val="20"/>
          <w:szCs w:val="20"/>
          <w:lang w:eastAsia="en-GB"/>
          <w14:ligatures w14:val="none"/>
        </w:rPr>
      </w:pPr>
      <w:r w:rsidRPr="000D0684">
        <w:rPr>
          <w:rFonts w:ascii="Times New Roman" w:eastAsia="Times New Roman" w:hAnsi="Times New Roman" w:cs="Times New Roman"/>
          <w:kern w:val="0"/>
          <w:sz w:val="20"/>
          <w:szCs w:val="20"/>
          <w:lang w:eastAsia="en-GB"/>
          <w14:ligatures w14:val="none"/>
        </w:rPr>
        <w:t xml:space="preserve">Here, </w:t>
      </w:r>
      <w:r w:rsidR="005D1810" w:rsidRPr="000D0684">
        <w:rPr>
          <w:rFonts w:ascii="Times New Roman" w:eastAsia="Times New Roman" w:hAnsi="Times New Roman" w:cs="Times New Roman"/>
          <w:kern w:val="0"/>
          <w:sz w:val="20"/>
          <w:szCs w:val="20"/>
          <w:lang w:eastAsia="en-GB"/>
          <w14:ligatures w14:val="none"/>
        </w:rPr>
        <w:t>we</w:t>
      </w:r>
      <w:r w:rsidRPr="000D0684">
        <w:rPr>
          <w:rFonts w:ascii="Times New Roman" w:eastAsia="Times New Roman" w:hAnsi="Times New Roman" w:cs="Times New Roman"/>
          <w:kern w:val="0"/>
          <w:sz w:val="20"/>
          <w:szCs w:val="20"/>
          <w:lang w:eastAsia="en-GB"/>
          <w14:ligatures w14:val="none"/>
        </w:rPr>
        <w:t xml:space="preserve"> detail the geomorphic context for each sample at Mt Murphy for which a paired </w:t>
      </w:r>
      <w:r w:rsidRPr="000D0684">
        <w:rPr>
          <w:rFonts w:ascii="Times New Roman" w:eastAsia="Times New Roman" w:hAnsi="Times New Roman" w:cs="Times New Roman"/>
          <w:kern w:val="0"/>
          <w:sz w:val="20"/>
          <w:szCs w:val="20"/>
          <w:vertAlign w:val="superscript"/>
          <w:lang w:eastAsia="en-GB"/>
          <w14:ligatures w14:val="none"/>
        </w:rPr>
        <w:t>14</w:t>
      </w:r>
      <w:r w:rsidRPr="000D0684">
        <w:rPr>
          <w:rFonts w:ascii="Times New Roman" w:eastAsia="Times New Roman" w:hAnsi="Times New Roman" w:cs="Times New Roman"/>
          <w:kern w:val="0"/>
          <w:sz w:val="20"/>
          <w:szCs w:val="20"/>
          <w:lang w:eastAsia="en-GB"/>
          <w14:ligatures w14:val="none"/>
        </w:rPr>
        <w:t>C-</w:t>
      </w:r>
      <w:r w:rsidRPr="000D0684">
        <w:rPr>
          <w:rFonts w:ascii="Times New Roman" w:eastAsia="Times New Roman" w:hAnsi="Times New Roman" w:cs="Times New Roman"/>
          <w:kern w:val="0"/>
          <w:sz w:val="20"/>
          <w:szCs w:val="20"/>
          <w:vertAlign w:val="superscript"/>
          <w:lang w:eastAsia="en-GB"/>
          <w14:ligatures w14:val="none"/>
        </w:rPr>
        <w:t>10</w:t>
      </w:r>
      <w:r w:rsidRPr="000D0684">
        <w:rPr>
          <w:rFonts w:ascii="Times New Roman" w:eastAsia="Times New Roman" w:hAnsi="Times New Roman" w:cs="Times New Roman"/>
          <w:kern w:val="0"/>
          <w:sz w:val="20"/>
          <w:szCs w:val="20"/>
          <w:lang w:eastAsia="en-GB"/>
          <w14:ligatures w14:val="none"/>
        </w:rPr>
        <w:t xml:space="preserve">Be nuclide measurement has been performed. A full site description of scoria cone can be found in </w:t>
      </w:r>
      <w:r w:rsidR="005D1810" w:rsidRPr="000D0684">
        <w:rPr>
          <w:rFonts w:ascii="Times New Roman" w:eastAsia="Times New Roman" w:hAnsi="Times New Roman" w:cs="Times New Roman"/>
          <w:kern w:val="0"/>
          <w:sz w:val="20"/>
          <w:szCs w:val="20"/>
          <w:lang w:eastAsia="en-GB"/>
          <w14:ligatures w14:val="none"/>
        </w:rPr>
        <w:t>Adams et al., (2022)</w:t>
      </w:r>
      <w:r w:rsidRPr="000D0684">
        <w:rPr>
          <w:rFonts w:ascii="Times New Roman" w:eastAsia="Times New Roman" w:hAnsi="Times New Roman" w:cs="Times New Roman"/>
          <w:kern w:val="0"/>
          <w:sz w:val="20"/>
          <w:szCs w:val="20"/>
          <w:lang w:eastAsia="en-GB"/>
          <w14:ligatures w14:val="none"/>
        </w:rPr>
        <w:t xml:space="preserve">. A site description of both Turtle Rock and Notebook Cliffs can be found in Johnson et al., (2020). </w:t>
      </w:r>
    </w:p>
    <w:p w14:paraId="3BD96070" w14:textId="77777777" w:rsidR="00C13E1D" w:rsidRDefault="00C13E1D" w:rsidP="002179EB">
      <w:pPr>
        <w:spacing w:line="360" w:lineRule="auto"/>
        <w:rPr>
          <w:rFonts w:ascii="Times New Roman" w:eastAsia="Times New Roman" w:hAnsi="Times New Roman" w:cs="Times New Roman"/>
          <w:b/>
          <w:bCs/>
          <w:kern w:val="0"/>
          <w:sz w:val="20"/>
          <w:szCs w:val="20"/>
          <w:lang w:eastAsia="en-GB"/>
          <w14:ligatures w14:val="none"/>
        </w:rPr>
      </w:pPr>
      <w:r>
        <w:rPr>
          <w:b/>
          <w:bCs/>
          <w:noProof/>
          <w:sz w:val="24"/>
          <w:szCs w:val="24"/>
        </w:rPr>
        <w:drawing>
          <wp:inline distT="0" distB="0" distL="0" distR="0" wp14:anchorId="4194E0F3" wp14:editId="78336179">
            <wp:extent cx="5035550" cy="2406403"/>
            <wp:effectExtent l="0" t="0" r="0" b="0"/>
            <wp:docPr id="2024751620" name="Picture 1" descr="A picture containing text, screensho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51620" name="Picture 1" descr="A picture containing text, screenshot, map&#10;&#10;Description automatically generated"/>
                    <pic:cNvPicPr/>
                  </pic:nvPicPr>
                  <pic:blipFill rotWithShape="1">
                    <a:blip r:embed="rId6" cstate="print">
                      <a:extLst>
                        <a:ext uri="{28A0092B-C50C-407E-A947-70E740481C1C}">
                          <a14:useLocalDpi xmlns:a14="http://schemas.microsoft.com/office/drawing/2010/main" val="0"/>
                        </a:ext>
                      </a:extLst>
                    </a:blip>
                    <a:srcRect t="1511" r="1039"/>
                    <a:stretch/>
                  </pic:blipFill>
                  <pic:spPr bwMode="auto">
                    <a:xfrm>
                      <a:off x="0" y="0"/>
                      <a:ext cx="5093540" cy="2434115"/>
                    </a:xfrm>
                    <a:prstGeom prst="rect">
                      <a:avLst/>
                    </a:prstGeom>
                    <a:ln>
                      <a:noFill/>
                    </a:ln>
                    <a:extLst>
                      <a:ext uri="{53640926-AAD7-44D8-BBD7-CCE9431645EC}">
                        <a14:shadowObscured xmlns:a14="http://schemas.microsoft.com/office/drawing/2010/main"/>
                      </a:ext>
                    </a:extLst>
                  </pic:spPr>
                </pic:pic>
              </a:graphicData>
            </a:graphic>
          </wp:inline>
        </w:drawing>
      </w:r>
    </w:p>
    <w:p w14:paraId="1D558992" w14:textId="7DCF1A25" w:rsidR="00C13E1D" w:rsidRPr="006D184D" w:rsidRDefault="00C13E1D" w:rsidP="006D184D">
      <w:pPr>
        <w:spacing w:line="240" w:lineRule="auto"/>
        <w:rPr>
          <w:rFonts w:ascii="Times New Roman" w:eastAsia="Times New Roman" w:hAnsi="Times New Roman" w:cs="Times New Roman"/>
          <w:kern w:val="0"/>
          <w:sz w:val="20"/>
          <w:szCs w:val="20"/>
          <w:lang w:eastAsia="en-GB"/>
          <w14:ligatures w14:val="none"/>
        </w:rPr>
      </w:pPr>
      <w:r w:rsidRPr="002E6246">
        <w:rPr>
          <w:rFonts w:ascii="Times New Roman" w:eastAsia="Times New Roman" w:hAnsi="Times New Roman" w:cs="Times New Roman"/>
          <w:b/>
          <w:bCs/>
          <w:kern w:val="0"/>
          <w:sz w:val="20"/>
          <w:szCs w:val="20"/>
          <w:lang w:eastAsia="en-GB"/>
          <w14:ligatures w14:val="none"/>
        </w:rPr>
        <w:t>Figure S1:</w:t>
      </w:r>
      <w:r w:rsidRPr="002E6246">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kern w:val="0"/>
          <w:sz w:val="20"/>
          <w:szCs w:val="20"/>
          <w:lang w:eastAsia="en-GB"/>
          <w14:ligatures w14:val="none"/>
        </w:rPr>
        <w:t xml:space="preserve">Mt Murphy sites and locations measured for both in situ </w:t>
      </w:r>
      <w:r w:rsidRPr="00964C24">
        <w:rPr>
          <w:rFonts w:ascii="Times New Roman" w:eastAsia="Times New Roman" w:hAnsi="Times New Roman" w:cs="Times New Roman"/>
          <w:kern w:val="0"/>
          <w:sz w:val="20"/>
          <w:szCs w:val="20"/>
          <w:vertAlign w:val="superscript"/>
          <w:lang w:eastAsia="en-GB"/>
          <w14:ligatures w14:val="none"/>
        </w:rPr>
        <w:t>14</w:t>
      </w:r>
      <w:r w:rsidRPr="00964C24">
        <w:rPr>
          <w:rFonts w:ascii="Times New Roman" w:eastAsia="Times New Roman" w:hAnsi="Times New Roman" w:cs="Times New Roman"/>
          <w:kern w:val="0"/>
          <w:sz w:val="20"/>
          <w:szCs w:val="20"/>
          <w:lang w:eastAsia="en-GB"/>
          <w14:ligatures w14:val="none"/>
        </w:rPr>
        <w:t xml:space="preserve">C and </w:t>
      </w:r>
      <w:r w:rsidRPr="00964C24">
        <w:rPr>
          <w:rFonts w:ascii="Times New Roman" w:eastAsia="Times New Roman" w:hAnsi="Times New Roman" w:cs="Times New Roman"/>
          <w:kern w:val="0"/>
          <w:sz w:val="20"/>
          <w:szCs w:val="20"/>
          <w:vertAlign w:val="superscript"/>
          <w:lang w:eastAsia="en-GB"/>
          <w14:ligatures w14:val="none"/>
        </w:rPr>
        <w:t>10</w:t>
      </w:r>
      <w:r w:rsidRPr="00964C24">
        <w:rPr>
          <w:rFonts w:ascii="Times New Roman" w:eastAsia="Times New Roman" w:hAnsi="Times New Roman" w:cs="Times New Roman"/>
          <w:kern w:val="0"/>
          <w:sz w:val="20"/>
          <w:szCs w:val="20"/>
          <w:lang w:eastAsia="en-GB"/>
          <w14:ligatures w14:val="none"/>
        </w:rPr>
        <w:t>Be displayed in the context of local ice velocities.</w:t>
      </w:r>
      <w:r w:rsidR="006D184D">
        <w:rPr>
          <w:rFonts w:ascii="Times New Roman" w:eastAsia="Times New Roman" w:hAnsi="Times New Roman" w:cs="Times New Roman"/>
          <w:kern w:val="0"/>
          <w:sz w:val="20"/>
          <w:szCs w:val="20"/>
          <w:lang w:eastAsia="en-GB"/>
          <w14:ligatures w14:val="none"/>
        </w:rPr>
        <w:t xml:space="preserve"> Landsat-9 image</w:t>
      </w:r>
      <w:r w:rsidR="006D184D" w:rsidRPr="006D184D">
        <w:rPr>
          <w:rFonts w:ascii="Times New Roman" w:eastAsia="Times New Roman" w:hAnsi="Times New Roman" w:cs="Times New Roman"/>
          <w:kern w:val="0"/>
          <w:sz w:val="20"/>
          <w:szCs w:val="20"/>
          <w:lang w:eastAsia="en-GB"/>
          <w14:ligatures w14:val="none"/>
        </w:rPr>
        <w:t xml:space="preserve"> from the online Data Pool, courtesy of the NASA EOSDIS Land Processes Distributed Active Archive </w:t>
      </w:r>
      <w:proofErr w:type="spellStart"/>
      <w:r w:rsidR="006D184D" w:rsidRPr="006D184D">
        <w:rPr>
          <w:rFonts w:ascii="Times New Roman" w:eastAsia="Times New Roman" w:hAnsi="Times New Roman" w:cs="Times New Roman"/>
          <w:kern w:val="0"/>
          <w:sz w:val="20"/>
          <w:szCs w:val="20"/>
          <w:lang w:eastAsia="en-GB"/>
          <w14:ligatures w14:val="none"/>
        </w:rPr>
        <w:t>Center</w:t>
      </w:r>
      <w:proofErr w:type="spellEnd"/>
      <w:r w:rsidR="006D184D" w:rsidRPr="006D184D">
        <w:rPr>
          <w:rFonts w:ascii="Times New Roman" w:eastAsia="Times New Roman" w:hAnsi="Times New Roman" w:cs="Times New Roman"/>
          <w:kern w:val="0"/>
          <w:sz w:val="20"/>
          <w:szCs w:val="20"/>
          <w:lang w:eastAsia="en-GB"/>
          <w14:ligatures w14:val="none"/>
        </w:rPr>
        <w:t xml:space="preserve"> (LP DAAC)</w:t>
      </w:r>
      <w:r w:rsidR="006D184D">
        <w:rPr>
          <w:rFonts w:ascii="Times New Roman" w:eastAsia="Times New Roman" w:hAnsi="Times New Roman" w:cs="Times New Roman"/>
          <w:kern w:val="0"/>
          <w:sz w:val="20"/>
          <w:szCs w:val="20"/>
          <w:lang w:eastAsia="en-GB"/>
          <w14:ligatures w14:val="none"/>
        </w:rPr>
        <w:t xml:space="preserve">. </w:t>
      </w:r>
      <w:r w:rsidR="006D184D" w:rsidRPr="006D184D">
        <w:rPr>
          <w:rFonts w:ascii="Times New Roman" w:eastAsia="Times New Roman" w:hAnsi="Times New Roman" w:cs="Times New Roman"/>
          <w:kern w:val="0"/>
          <w:sz w:val="20"/>
          <w:szCs w:val="20"/>
          <w:lang w:eastAsia="en-GB"/>
          <w14:ligatures w14:val="none"/>
        </w:rPr>
        <w:t xml:space="preserve">Ice flow speeds are </w:t>
      </w:r>
      <w:r w:rsidR="0025649E">
        <w:rPr>
          <w:rFonts w:ascii="Times New Roman" w:eastAsia="Times New Roman" w:hAnsi="Times New Roman" w:cs="Times New Roman"/>
          <w:kern w:val="0"/>
          <w:sz w:val="20"/>
          <w:szCs w:val="20"/>
          <w:lang w:eastAsia="en-GB"/>
          <w14:ligatures w14:val="none"/>
        </w:rPr>
        <w:t>overlain</w:t>
      </w:r>
      <w:r w:rsidR="006D184D" w:rsidRPr="006D184D">
        <w:rPr>
          <w:rFonts w:ascii="Times New Roman" w:eastAsia="Times New Roman" w:hAnsi="Times New Roman" w:cs="Times New Roman"/>
          <w:kern w:val="0"/>
          <w:sz w:val="20"/>
          <w:szCs w:val="20"/>
          <w:lang w:eastAsia="en-GB"/>
          <w14:ligatures w14:val="none"/>
        </w:rPr>
        <w:t xml:space="preserve"> to improve visualisation of ice </w:t>
      </w:r>
      <w:r w:rsidR="0025649E">
        <w:rPr>
          <w:rFonts w:ascii="Times New Roman" w:eastAsia="Times New Roman" w:hAnsi="Times New Roman" w:cs="Times New Roman"/>
          <w:kern w:val="0"/>
          <w:sz w:val="20"/>
          <w:szCs w:val="20"/>
          <w:lang w:eastAsia="en-GB"/>
          <w14:ligatures w14:val="none"/>
        </w:rPr>
        <w:t>localised ice flow</w:t>
      </w:r>
      <w:r w:rsidR="006D184D" w:rsidRPr="006D184D">
        <w:rPr>
          <w:rFonts w:ascii="Times New Roman" w:eastAsia="Times New Roman" w:hAnsi="Times New Roman" w:cs="Times New Roman"/>
          <w:kern w:val="0"/>
          <w:sz w:val="20"/>
          <w:szCs w:val="20"/>
          <w:lang w:eastAsia="en-GB"/>
          <w14:ligatures w14:val="none"/>
        </w:rPr>
        <w:t xml:space="preserve"> and were downloaded from </w:t>
      </w:r>
      <w:proofErr w:type="spellStart"/>
      <w:r w:rsidR="006D184D" w:rsidRPr="006D184D">
        <w:rPr>
          <w:rFonts w:ascii="Times New Roman" w:eastAsia="Times New Roman" w:hAnsi="Times New Roman" w:cs="Times New Roman"/>
          <w:kern w:val="0"/>
          <w:sz w:val="20"/>
          <w:szCs w:val="20"/>
          <w:lang w:eastAsia="en-GB"/>
          <w14:ligatures w14:val="none"/>
        </w:rPr>
        <w:t>MEaSUREs</w:t>
      </w:r>
      <w:proofErr w:type="spellEnd"/>
      <w:r w:rsidR="006D184D" w:rsidRPr="006D184D">
        <w:rPr>
          <w:rFonts w:ascii="Times New Roman" w:eastAsia="Times New Roman" w:hAnsi="Times New Roman" w:cs="Times New Roman"/>
          <w:kern w:val="0"/>
          <w:sz w:val="20"/>
          <w:szCs w:val="20"/>
          <w:lang w:eastAsia="en-GB"/>
          <w14:ligatures w14:val="none"/>
        </w:rPr>
        <w:t xml:space="preserve"> </w:t>
      </w:r>
      <w:proofErr w:type="spellStart"/>
      <w:r w:rsidR="006D184D" w:rsidRPr="006D184D">
        <w:rPr>
          <w:rFonts w:ascii="Times New Roman" w:eastAsia="Times New Roman" w:hAnsi="Times New Roman" w:cs="Times New Roman"/>
          <w:kern w:val="0"/>
          <w:sz w:val="20"/>
          <w:szCs w:val="20"/>
          <w:lang w:eastAsia="en-GB"/>
          <w14:ligatures w14:val="none"/>
        </w:rPr>
        <w:t>InSAR</w:t>
      </w:r>
      <w:proofErr w:type="spellEnd"/>
      <w:r w:rsidR="006D184D" w:rsidRPr="006D184D">
        <w:rPr>
          <w:rFonts w:ascii="Times New Roman" w:eastAsia="Times New Roman" w:hAnsi="Times New Roman" w:cs="Times New Roman"/>
          <w:kern w:val="0"/>
          <w:sz w:val="20"/>
          <w:szCs w:val="20"/>
          <w:lang w:eastAsia="en-GB"/>
          <w14:ligatures w14:val="none"/>
        </w:rPr>
        <w:t>-Based Antarctica Ice Velocity Dataset Version 2</w:t>
      </w:r>
      <w:r w:rsidR="00820E26">
        <w:rPr>
          <w:rFonts w:ascii="Times New Roman" w:eastAsia="Times New Roman" w:hAnsi="Times New Roman" w:cs="Times New Roman"/>
          <w:kern w:val="0"/>
          <w:sz w:val="20"/>
          <w:szCs w:val="20"/>
          <w:lang w:eastAsia="en-GB"/>
          <w14:ligatures w14:val="none"/>
        </w:rPr>
        <w:t xml:space="preserve"> </w:t>
      </w:r>
      <w:r w:rsidR="00820E26">
        <w:rPr>
          <w:rFonts w:ascii="Times New Roman" w:eastAsia="Times New Roman" w:hAnsi="Times New Roman" w:cs="Times New Roman"/>
          <w:kern w:val="0"/>
          <w:sz w:val="20"/>
          <w:szCs w:val="20"/>
          <w:lang w:eastAsia="en-GB"/>
          <w14:ligatures w14:val="none"/>
        </w:rPr>
        <w:fldChar w:fldCharType="begin" w:fldLock="1"/>
      </w:r>
      <w:r w:rsidR="00820E26">
        <w:rPr>
          <w:rFonts w:ascii="Times New Roman" w:eastAsia="Times New Roman" w:hAnsi="Times New Roman" w:cs="Times New Roman"/>
          <w:kern w:val="0"/>
          <w:sz w:val="20"/>
          <w:szCs w:val="20"/>
          <w:lang w:eastAsia="en-GB"/>
          <w14:ligatures w14:val="none"/>
        </w:rPr>
        <w:instrText>ADDIN CSL_CITATION {"citationItems":[{"id":"ITEM-1","itemData":{"DOI":"10.3390/rs4092753","ISSN":"2072-4292","abstract":"Ice velocity is a fundamental parameter in studying the dynamics of ice sheets.Until recently, no complete mapping of Antarctic ice motion had been available due to calibration uncertainties and lack of basic data. Here, we present a method for calibrating and mosaicking an ensemble of InSAR satellite measurements of ice motion from six sensors: the Japanese ALOS PALSAR, the European Envisat ASAR, ERS-1 and ERS-2, and the Canadian RADARSAT-1 and RADARSAT-2. Ice motion calibration is made difficult by the sparsity of in-situ reference points and the shear size of the study area. A sensor-dependent data stacking scheme is applied to reduce measurement uncertainties. The resulting ice velocity mosaic has errors in magnitude ranging from 1 m/yr in the interior regions to 17 m/yr in coastal sectors and errors in flow direction ranging from less than 0.5° in areas of fast flow to unconstrained direction in sectors of slow motion. It is important to understand how these mosaics are calibrated to understand the inner characteristics of the velocity products as well as to plan future InSAR acquisitions in the Antarctic. As an example, we show that in broad sectors devoid of ice-motion control, it is critical to operate ice motion mapping on a large scale to avoid pitfalls of calibration uncertainties that would make it difficult to obtain quality products and especially construct reliable time series of ice motion needed to detect temporal changes. © 2012 by the authors.","author":[{"dropping-particle":"","family":"Mouginot","given":"Jeremie","non-dropping-particle":"","parse-names":false,"suffix":""},{"dropping-particle":"","family":"Scheuchl","given":"Bernd","non-dropping-particle":"","parse-names":false,"suffix":""},{"dropping-particle":"","family":"Rignot","given":"Eric","non-dropping-particle":"","parse-names":false,"suffix":""}],"container-title":"Remote Sensing","id":"ITEM-1","issue":"9","issued":{"date-parts":[["2012","9","18"]]},"page":"2753-2767","publisher":"Molecular Diversity Preservation International","title":"Mapping of Ice Motion in Antarctica Using Synthetic-Aperture Radar Data","type":"article-journal","volume":"4"},"uris":["http://www.mendeley.com/documents/?uuid=920bf4ac-a1c6-3d59-9696-2926abf80b7a"]},{"id":"ITEM-2","itemData":{"DOI":"10.3390/rs9040364","ISSN":"20724292","abstract":"Satellite remote sensing data including Landsat-8 (optical), Sentinel-1, and RADARSAT-2 (synthetic aperture radar (SAR) missions) have recently become routinely available for large scale ice velocity mapping of ice sheets in Greenland and Antarctica. These datasets are too large in size to be processed and calibrated manually as done in the past. Here, we describe a methodology to process the SAR and optical data in a synergistic fashion and automatically calibrate, mosaic, and integrate these data sets together into seamless, ice-sheet-wide, products. We employ this approach to produce annual mosaics of ice motion in Antarctica and Greenland with all available data acquired on a particular year. We find that the precision of a Landsat-8 pair is lower than that of its SAR counterpart, but due to the large number of Landsat-8 acquisitions, combined with the high persistency of optical surface features in the Landsat-8 data, we obtain accurate velocity products from Landsat that integrate well with the SAR-derived velocity products. The resulting pool of remote sensing products is a significant advance for observing changes in ice dynamics over the entire ice sheets and their contribution to sea level. In preparation for the next generation sensors, we discuss the implications of the results for the upcoming NASA-ISRO SAR mission (NISAR).","author":[{"dropping-particle":"","family":"Mouginot","given":"Jeremie","non-dropping-particle":"","parse-names":false,"suffix":""},{"dropping-particle":"","family":"Rignot","given":"Eric","non-dropping-particle":"","parse-names":false,"suffix":""},{"dropping-particle":"","family":"Scheuchl","given":"Bernd","non-dropping-particle":"","parse-names":false,"suffix":""},{"dropping-particle":"","family":"Millan","given":"Romain","non-dropping-particle":"","parse-names":false,"suffix":""}],"container-title":"Remote Sensing","id":"ITEM-2","issue":"4","issued":{"date-parts":[["2017"]]},"page":"1-20","title":"Comprehensive annual ice sheet velocity mapping using Landsat-8, Sentinel-1, and RADARSAT-2 data","type":"article-journal","volume":"9"},"uris":["http://www.mendeley.com/documents/?uuid=57550e19-31d5-4968-b213-4f1e8524bfc0"]},{"id":"ITEM-3","itemData":{"DOI":"10.1029/2011GL047109","ISSN":"00948276","author":[{"dropping-particle":"","family":"Rignot","given":"E.","non-dropping-particle":"","parse-names":false,"suffix":""},{"dropping-particle":"","family":"Mouginot","given":"J.","non-dropping-particle":"","parse-names":false,"suffix":""},{"dropping-particle":"","family":"Scheuchl","given":"B.","non-dropping-particle":"","parse-names":false,"suffix":""}],"container-title":"Geophysical Research Letters","id":"ITEM-3","issue":"10","issued":{"date-parts":[["2011","5"]]},"note":"Reference for this. \n\nIt is near the grounding line that ice shelves experience the largest rates of melting by the ocean [Rignot and Jacobs, 2002]","page":"1-6","title":"Antarctic grounding line mapping from differential satellite radar interferometry","type":"article-journal","volume":"38"},"uris":["http://www.mendeley.com/documents/?uuid=a7b08906-606a-3b5d-bf25-52d757c5eef7"]}],"mendeley":{"formattedCitation":"(Mouginot et al., 2012, 2017; Rignot et al., 2011)","plainTextFormattedCitation":"(Mouginot et al., 2012, 2017; Rignot et al., 2011)"},"properties":{"noteIndex":0},"schema":"https://github.com/citation-style-language/schema/raw/master/csl-citation.json"}</w:instrText>
      </w:r>
      <w:r w:rsidR="00820E26">
        <w:rPr>
          <w:rFonts w:ascii="Times New Roman" w:eastAsia="Times New Roman" w:hAnsi="Times New Roman" w:cs="Times New Roman"/>
          <w:kern w:val="0"/>
          <w:sz w:val="20"/>
          <w:szCs w:val="20"/>
          <w:lang w:eastAsia="en-GB"/>
          <w14:ligatures w14:val="none"/>
        </w:rPr>
        <w:fldChar w:fldCharType="separate"/>
      </w:r>
      <w:r w:rsidR="00820E26" w:rsidRPr="00820E26">
        <w:rPr>
          <w:rFonts w:ascii="Times New Roman" w:eastAsia="Times New Roman" w:hAnsi="Times New Roman" w:cs="Times New Roman"/>
          <w:noProof/>
          <w:kern w:val="0"/>
          <w:sz w:val="20"/>
          <w:szCs w:val="20"/>
          <w:lang w:eastAsia="en-GB"/>
          <w14:ligatures w14:val="none"/>
        </w:rPr>
        <w:t>(Mouginot et al., 2012, 2017; Rignot et al., 2011)</w:t>
      </w:r>
      <w:r w:rsidR="00820E26">
        <w:rPr>
          <w:rFonts w:ascii="Times New Roman" w:eastAsia="Times New Roman" w:hAnsi="Times New Roman" w:cs="Times New Roman"/>
          <w:kern w:val="0"/>
          <w:sz w:val="20"/>
          <w:szCs w:val="20"/>
          <w:lang w:eastAsia="en-GB"/>
          <w14:ligatures w14:val="none"/>
        </w:rPr>
        <w:fldChar w:fldCharType="end"/>
      </w:r>
      <w:r w:rsidR="006D184D" w:rsidRPr="006D184D">
        <w:rPr>
          <w:rFonts w:ascii="Times New Roman" w:eastAsia="Times New Roman" w:hAnsi="Times New Roman" w:cs="Times New Roman"/>
          <w:kern w:val="0"/>
          <w:sz w:val="20"/>
          <w:szCs w:val="20"/>
          <w:lang w:eastAsia="en-GB"/>
          <w14:ligatures w14:val="none"/>
        </w:rPr>
        <w:t xml:space="preserve"> (</w:t>
      </w:r>
      <w:proofErr w:type="spellStart"/>
      <w:r w:rsidR="006D184D" w:rsidRPr="006D184D">
        <w:rPr>
          <w:rFonts w:ascii="Times New Roman" w:eastAsia="Times New Roman" w:hAnsi="Times New Roman" w:cs="Times New Roman"/>
          <w:kern w:val="0"/>
          <w:sz w:val="20"/>
          <w:szCs w:val="20"/>
          <w:lang w:eastAsia="en-GB"/>
          <w14:ligatures w14:val="none"/>
        </w:rPr>
        <w:t>Mouginot</w:t>
      </w:r>
      <w:proofErr w:type="spellEnd"/>
      <w:r w:rsidR="006D184D" w:rsidRPr="006D184D">
        <w:rPr>
          <w:rFonts w:ascii="Times New Roman" w:eastAsia="Times New Roman" w:hAnsi="Times New Roman" w:cs="Times New Roman"/>
          <w:kern w:val="0"/>
          <w:sz w:val="20"/>
          <w:szCs w:val="20"/>
          <w:lang w:eastAsia="en-GB"/>
          <w14:ligatures w14:val="none"/>
        </w:rPr>
        <w:t xml:space="preserve"> et al., 2012, 2017; </w:t>
      </w:r>
      <w:proofErr w:type="spellStart"/>
      <w:r w:rsidR="006D184D" w:rsidRPr="006D184D">
        <w:rPr>
          <w:rFonts w:ascii="Times New Roman" w:eastAsia="Times New Roman" w:hAnsi="Times New Roman" w:cs="Times New Roman"/>
          <w:kern w:val="0"/>
          <w:sz w:val="20"/>
          <w:szCs w:val="20"/>
          <w:lang w:eastAsia="en-GB"/>
          <w14:ligatures w14:val="none"/>
        </w:rPr>
        <w:t>Rignot</w:t>
      </w:r>
      <w:proofErr w:type="spellEnd"/>
      <w:r w:rsidR="006D184D" w:rsidRPr="006D184D">
        <w:rPr>
          <w:rFonts w:ascii="Times New Roman" w:eastAsia="Times New Roman" w:hAnsi="Times New Roman" w:cs="Times New Roman"/>
          <w:kern w:val="0"/>
          <w:sz w:val="20"/>
          <w:szCs w:val="20"/>
          <w:lang w:eastAsia="en-GB"/>
          <w14:ligatures w14:val="none"/>
        </w:rPr>
        <w:t xml:space="preserve"> et al., 2011b) [last accessed 25.05.2023].</w:t>
      </w:r>
      <w:r w:rsidR="006D184D">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kern w:val="0"/>
          <w:sz w:val="20"/>
          <w:szCs w:val="20"/>
          <w:lang w:eastAsia="en-GB"/>
          <w14:ligatures w14:val="none"/>
        </w:rPr>
        <w:t>Grounding line</w:t>
      </w:r>
      <w:r w:rsidR="006D184D">
        <w:rPr>
          <w:rFonts w:ascii="Times New Roman" w:eastAsia="Times New Roman" w:hAnsi="Times New Roman" w:cs="Times New Roman"/>
          <w:kern w:val="0"/>
          <w:sz w:val="20"/>
          <w:szCs w:val="20"/>
          <w:lang w:eastAsia="en-GB"/>
          <w14:ligatures w14:val="none"/>
        </w:rPr>
        <w:t xml:space="preserve"> from</w:t>
      </w:r>
      <w:r w:rsidRPr="00964C24">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kern w:val="0"/>
          <w:sz w:val="20"/>
          <w:szCs w:val="20"/>
          <w:lang w:eastAsia="en-GB"/>
          <w14:ligatures w14:val="none"/>
        </w:rPr>
        <w:fldChar w:fldCharType="begin" w:fldLock="1"/>
      </w:r>
      <w:r w:rsidRPr="00964C24">
        <w:rPr>
          <w:rFonts w:ascii="Times New Roman" w:eastAsia="Times New Roman" w:hAnsi="Times New Roman" w:cs="Times New Roman"/>
          <w:kern w:val="0"/>
          <w:sz w:val="20"/>
          <w:szCs w:val="20"/>
          <w:lang w:eastAsia="en-GB"/>
          <w14:ligatures w14:val="none"/>
        </w:rPr>
        <w:instrText>ADDIN CSL_CITATION {"citationItems":[{"id":"ITEM-1","itemData":{"DOI":"10.1038/S41561-021-00877-Z","ISSN":"17520908","abstract":"The Pope, Smith and Kohler glaciers, in the Amundsen Sea Embayment of West Antarctica, have experienced enhanced ocean-induced ice-shelf melt, glacier acceleration, ice thinning and grounding-line retreat in the past 30 years. Here we present observations of the grounding-line retreat of these glaciers since 2014 using a constellation of interferometric radar satellites combined with precision surface elevation data. We find that the grounding lines develop spatially variable, kilometre-scale, tidally induced migration zones. After correction for tidal effects, we detect a sustained pattern of retreat coincident with high melt rates of ungrounded ice, marked by episodes of more rapid retreat. In 2017, Pope Glacier retreated 3.5 km in 3.6 months, or 11.7 km yr–1. In 2016–2018, Smith West retreated at 2 km yr–1 and Kohler at 1.3 km yr–1. While the retreat slowed in 2018–2020, these retreat rates are faster than anticipated by numerical models on yearly timescales. We hypothesize that the rapid retreat is caused by unrepresented, vigorous ice–ocean interactions acting within newly formed cavities at the ice–ocean boundary.","author":[{"dropping-particle":"","family":"Milillo","given":"P.","non-dropping-particle":"","parse-names":false,"suffix":""},{"dropping-particle":"","family":"Rignot","given":"E.","non-dropping-particle":"","parse-names":false,"suffix":""},{"dropping-particle":"","family":"Rizzoli","given":"P.","non-dropping-particle":"","parse-names":false,"suffix":""},{"dropping-particle":"","family":"Scheuchl","given":"B.","non-dropping-particle":"","parse-names":false,"suffix":""},{"dropping-particle":"","family":"Mouginot","given":"J.","non-dropping-particle":"","parse-names":false,"suffix":""},{"dropping-particle":"","family":"Bueso-Bello","given":"J. L.","non-dropping-particle":"","parse-names":false,"suffix":""},{"dropping-particle":"","family":"Prats-Iraola","given":"P.","non-dropping-particle":"","parse-names":false,"suffix":""},{"dropping-particle":"","family":"Dini","given":"L.","non-dropping-particle":"","parse-names":false,"suffix":""}],"container-title":"Nature Geoscience","id":"ITEM-1","issue":"1","issued":{"date-parts":[["2022","1","1"]]},"note":"New very important paper - directly looks at Pope Glacier. \n\nPope Glacier values. \nIce velocity - 775 m per year in 2016\nIce discharge 9.5 ± 0.7 Gt yr\nScheuchl, B., Mouginot, J., Rignot, E., Morlighem, M. &amp;amp; Khazendar, A. Grounding line retreat of Pope, Smith, and Kohler glaciers, West Antarctica, measured with Sentinel-1a radar interferometry data. Geophys. Res. Lett. 43, 8572–8579 (2016).\n\nNear grounding line ice thinned at 9 m yr between 2003 and 2008\nLilien, D. A., Joughin, I., Smith, B. &amp;amp; Shean, D. E. Changes in flow of Crosson and Dotson ice shelves, West Antarctica, in response to elevated melt. Cryosphere 12, 1145–1431 (2018)","page":"48-53","publisher":"Nature Research","title":"Rapid glacier retreat rates observed in West Antarctica","type":"article-journal","volume":"15"},"uris":["http://www.mendeley.com/documents/?uuid=9bbc846f-96b1-32f0-ae70-d2ead08887d2"]}],"mendeley":{"formattedCitation":"(Milillo et al., 2022)","plainTextFormattedCitation":"(Milillo et al., 2022)","previouslyFormattedCitation":"(Milillo et al., 2022)"},"properties":{"noteIndex":0},"schema":"https://github.com/citation-style-language/schema/raw/master/csl-citation.json"}</w:instrText>
      </w:r>
      <w:r w:rsidRPr="00964C24">
        <w:rPr>
          <w:rFonts w:ascii="Times New Roman" w:eastAsia="Times New Roman" w:hAnsi="Times New Roman" w:cs="Times New Roman"/>
          <w:kern w:val="0"/>
          <w:sz w:val="20"/>
          <w:szCs w:val="20"/>
          <w:lang w:eastAsia="en-GB"/>
          <w14:ligatures w14:val="none"/>
        </w:rPr>
        <w:fldChar w:fldCharType="separate"/>
      </w:r>
      <w:r w:rsidRPr="00964C24">
        <w:rPr>
          <w:rFonts w:ascii="Times New Roman" w:eastAsia="Times New Roman" w:hAnsi="Times New Roman" w:cs="Times New Roman"/>
          <w:noProof/>
          <w:kern w:val="0"/>
          <w:sz w:val="20"/>
          <w:szCs w:val="20"/>
          <w:lang w:eastAsia="en-GB"/>
          <w14:ligatures w14:val="none"/>
        </w:rPr>
        <w:t>(Milillo et al., 2022)</w:t>
      </w:r>
      <w:r w:rsidRPr="00964C24">
        <w:rPr>
          <w:rFonts w:ascii="Times New Roman" w:eastAsia="Times New Roman" w:hAnsi="Times New Roman" w:cs="Times New Roman"/>
          <w:kern w:val="0"/>
          <w:sz w:val="20"/>
          <w:szCs w:val="20"/>
          <w:lang w:eastAsia="en-GB"/>
          <w14:ligatures w14:val="none"/>
        </w:rPr>
        <w:fldChar w:fldCharType="end"/>
      </w:r>
      <w:r w:rsidRPr="00964C24">
        <w:rPr>
          <w:rFonts w:ascii="Times New Roman" w:eastAsia="Times New Roman" w:hAnsi="Times New Roman" w:cs="Times New Roman"/>
          <w:kern w:val="0"/>
          <w:sz w:val="20"/>
          <w:szCs w:val="20"/>
          <w:lang w:eastAsia="en-GB"/>
          <w14:ligatures w14:val="none"/>
        </w:rPr>
        <w:t>.</w:t>
      </w:r>
    </w:p>
    <w:p w14:paraId="758B7A8E" w14:textId="77777777" w:rsidR="00C13E1D" w:rsidRPr="000D0684" w:rsidRDefault="00C13E1D" w:rsidP="00C13E1D">
      <w:pPr>
        <w:spacing w:line="360" w:lineRule="auto"/>
        <w:rPr>
          <w:rFonts w:ascii="Times New Roman" w:eastAsia="Times New Roman" w:hAnsi="Times New Roman" w:cs="Times New Roman"/>
          <w:kern w:val="0"/>
          <w:sz w:val="20"/>
          <w:szCs w:val="20"/>
          <w:lang w:eastAsia="en-GB"/>
          <w14:ligatures w14:val="none"/>
        </w:rPr>
      </w:pPr>
      <w:r w:rsidRPr="00B23E9B">
        <w:rPr>
          <w:rFonts w:ascii="Times New Roman" w:eastAsia="Times New Roman" w:hAnsi="Times New Roman" w:cs="Times New Roman"/>
          <w:kern w:val="0"/>
          <w:lang w:eastAsia="en-GB"/>
          <w14:ligatures w14:val="none"/>
        </w:rPr>
        <w:br/>
      </w:r>
      <w:r w:rsidRPr="000D0684">
        <w:rPr>
          <w:rFonts w:ascii="Times New Roman" w:eastAsia="Times New Roman" w:hAnsi="Times New Roman" w:cs="Times New Roman"/>
          <w:b/>
          <w:bCs/>
          <w:color w:val="000000"/>
          <w:kern w:val="0"/>
          <w:sz w:val="20"/>
          <w:szCs w:val="20"/>
          <w:u w:val="single"/>
          <w:lang w:eastAsia="en-GB"/>
          <w14:ligatures w14:val="none"/>
        </w:rPr>
        <w:t>TURTLE ROCK</w:t>
      </w:r>
    </w:p>
    <w:p w14:paraId="02E99599" w14:textId="77777777" w:rsidR="00C13E1D" w:rsidRPr="000D0684" w:rsidRDefault="00C13E1D" w:rsidP="00C13E1D">
      <w:pPr>
        <w:spacing w:after="240" w:line="360" w:lineRule="auto"/>
        <w:rPr>
          <w:rFonts w:ascii="Times New Roman" w:eastAsia="Times New Roman" w:hAnsi="Times New Roman" w:cs="Times New Roman"/>
          <w:color w:val="000000"/>
          <w:kern w:val="0"/>
          <w:sz w:val="20"/>
          <w:szCs w:val="20"/>
          <w:lang w:eastAsia="en-GB"/>
          <w14:ligatures w14:val="none"/>
        </w:rPr>
      </w:pPr>
      <w:r w:rsidRPr="000D0684">
        <w:rPr>
          <w:rFonts w:ascii="Times New Roman" w:eastAsia="Times New Roman" w:hAnsi="Times New Roman" w:cs="Times New Roman"/>
          <w:color w:val="000000"/>
          <w:kern w:val="0"/>
          <w:sz w:val="20"/>
          <w:szCs w:val="20"/>
          <w:lang w:eastAsia="en-GB"/>
          <w14:ligatures w14:val="none"/>
        </w:rPr>
        <w:t xml:space="preserve">Many erratic boulders and cobbles have been recovered from Turtle Rock </w:t>
      </w:r>
      <w:r w:rsidRPr="000D0684">
        <w:rPr>
          <w:rFonts w:ascii="Times New Roman" w:eastAsia="Times New Roman" w:hAnsi="Times New Roman" w:cs="Times New Roman"/>
          <w:color w:val="000000"/>
          <w:kern w:val="0"/>
          <w:sz w:val="20"/>
          <w:szCs w:val="20"/>
          <w:lang w:eastAsia="en-GB"/>
          <w14:ligatures w14:val="none"/>
        </w:rPr>
        <w:fldChar w:fldCharType="begin" w:fldLock="1"/>
      </w:r>
      <w:r w:rsidRPr="000D0684">
        <w:rPr>
          <w:rFonts w:ascii="Times New Roman" w:eastAsia="Times New Roman" w:hAnsi="Times New Roman" w:cs="Times New Roman"/>
          <w:color w:val="000000"/>
          <w:kern w:val="0"/>
          <w:sz w:val="20"/>
          <w:szCs w:val="20"/>
          <w:lang w:eastAsia="en-GB"/>
          <w14:ligatures w14:val="none"/>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Antarctica","type":"article-journal","volume":"548"},"uris":["http://www.mendeley.com/documents/?uuid=3637f00b-c4e8-354b-8902-2ca54908c19b"]}],"mendeley":{"formattedCitation":"(Johnson et al., 2020)","plainTextFormattedCitation":"(Johnson et al., 2020)","previouslyFormattedCitation":"(Johnson et al., 2020)"},"properties":{"noteIndex":0},"schema":"https://github.com/citation-style-language/schema/raw/master/csl-citation.json"}</w:instrText>
      </w:r>
      <w:r w:rsidRPr="000D0684">
        <w:rPr>
          <w:rFonts w:ascii="Times New Roman" w:eastAsia="Times New Roman" w:hAnsi="Times New Roman" w:cs="Times New Roman"/>
          <w:color w:val="000000"/>
          <w:kern w:val="0"/>
          <w:sz w:val="20"/>
          <w:szCs w:val="20"/>
          <w:lang w:eastAsia="en-GB"/>
          <w14:ligatures w14:val="none"/>
        </w:rPr>
        <w:fldChar w:fldCharType="separate"/>
      </w:r>
      <w:r w:rsidRPr="000D0684">
        <w:rPr>
          <w:rFonts w:ascii="Times New Roman" w:eastAsia="Times New Roman" w:hAnsi="Times New Roman" w:cs="Times New Roman"/>
          <w:noProof/>
          <w:color w:val="000000"/>
          <w:kern w:val="0"/>
          <w:sz w:val="20"/>
          <w:szCs w:val="20"/>
          <w:lang w:eastAsia="en-GB"/>
          <w14:ligatures w14:val="none"/>
        </w:rPr>
        <w:t>(Johnson et al., 2020)</w:t>
      </w:r>
      <w:r w:rsidRPr="000D0684">
        <w:rPr>
          <w:rFonts w:ascii="Times New Roman" w:eastAsia="Times New Roman" w:hAnsi="Times New Roman" w:cs="Times New Roman"/>
          <w:color w:val="000000"/>
          <w:kern w:val="0"/>
          <w:sz w:val="20"/>
          <w:szCs w:val="20"/>
          <w:lang w:eastAsia="en-GB"/>
          <w14:ligatures w14:val="none"/>
        </w:rPr>
        <w:fldChar w:fldCharType="end"/>
      </w:r>
      <w:r w:rsidRPr="000D0684">
        <w:rPr>
          <w:rFonts w:ascii="Times New Roman" w:eastAsia="Times New Roman" w:hAnsi="Times New Roman" w:cs="Times New Roman"/>
          <w:color w:val="000000"/>
          <w:kern w:val="0"/>
          <w:sz w:val="20"/>
          <w:szCs w:val="20"/>
          <w:lang w:eastAsia="en-GB"/>
          <w14:ligatures w14:val="none"/>
        </w:rPr>
        <w:t xml:space="preserve">. The lowest terrace from where TUR-117 and TUR-132 were recovered is relatively flat and also hosts the greatest density of erratics from anywhere visited so far in the Amundsen Sea Embayment </w:t>
      </w:r>
      <w:r w:rsidRPr="000D0684">
        <w:rPr>
          <w:rFonts w:ascii="Times New Roman" w:eastAsia="Times New Roman" w:hAnsi="Times New Roman" w:cs="Times New Roman"/>
          <w:color w:val="000000"/>
          <w:kern w:val="0"/>
          <w:sz w:val="20"/>
          <w:szCs w:val="20"/>
          <w:lang w:eastAsia="en-GB"/>
          <w14:ligatures w14:val="none"/>
        </w:rPr>
        <w:fldChar w:fldCharType="begin" w:fldLock="1"/>
      </w:r>
      <w:r w:rsidRPr="000D0684">
        <w:rPr>
          <w:rFonts w:ascii="Times New Roman" w:eastAsia="Times New Roman" w:hAnsi="Times New Roman" w:cs="Times New Roman"/>
          <w:color w:val="000000"/>
          <w:kern w:val="0"/>
          <w:sz w:val="20"/>
          <w:szCs w:val="20"/>
          <w:lang w:eastAsia="en-GB"/>
          <w14:ligatures w14:val="none"/>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Antarctica","type":"article-journal","volume":"548"},"uris":["http://www.mendeley.com/documents/?uuid=3637f00b-c4e8-354b-8902-2ca54908c19b"]}],"mendeley":{"formattedCitation":"(Johnson et al., 2020)","plainTextFormattedCitation":"(Johnson et al., 2020)","previouslyFormattedCitation":"(Johnson et al., 2020)"},"properties":{"noteIndex":0},"schema":"https://github.com/citation-style-language/schema/raw/master/csl-citation.json"}</w:instrText>
      </w:r>
      <w:r w:rsidRPr="000D0684">
        <w:rPr>
          <w:rFonts w:ascii="Times New Roman" w:eastAsia="Times New Roman" w:hAnsi="Times New Roman" w:cs="Times New Roman"/>
          <w:color w:val="000000"/>
          <w:kern w:val="0"/>
          <w:sz w:val="20"/>
          <w:szCs w:val="20"/>
          <w:lang w:eastAsia="en-GB"/>
          <w14:ligatures w14:val="none"/>
        </w:rPr>
        <w:fldChar w:fldCharType="separate"/>
      </w:r>
      <w:r w:rsidRPr="000D0684">
        <w:rPr>
          <w:rFonts w:ascii="Times New Roman" w:eastAsia="Times New Roman" w:hAnsi="Times New Roman" w:cs="Times New Roman"/>
          <w:noProof/>
          <w:color w:val="000000"/>
          <w:kern w:val="0"/>
          <w:sz w:val="20"/>
          <w:szCs w:val="20"/>
          <w:lang w:eastAsia="en-GB"/>
          <w14:ligatures w14:val="none"/>
        </w:rPr>
        <w:t>(Johnson et al., 2020)</w:t>
      </w:r>
      <w:r w:rsidRPr="000D0684">
        <w:rPr>
          <w:rFonts w:ascii="Times New Roman" w:eastAsia="Times New Roman" w:hAnsi="Times New Roman" w:cs="Times New Roman"/>
          <w:color w:val="000000"/>
          <w:kern w:val="0"/>
          <w:sz w:val="20"/>
          <w:szCs w:val="20"/>
          <w:lang w:eastAsia="en-GB"/>
          <w14:ligatures w14:val="none"/>
        </w:rPr>
        <w:fldChar w:fldCharType="end"/>
      </w:r>
      <w:r w:rsidRPr="000D0684">
        <w:rPr>
          <w:rFonts w:ascii="Times New Roman" w:eastAsia="Times New Roman" w:hAnsi="Times New Roman" w:cs="Times New Roman"/>
          <w:color w:val="000000"/>
          <w:kern w:val="0"/>
          <w:sz w:val="20"/>
          <w:szCs w:val="20"/>
          <w:lang w:eastAsia="en-GB"/>
          <w14:ligatures w14:val="none"/>
        </w:rPr>
        <w:t xml:space="preserve">. </w:t>
      </w:r>
    </w:p>
    <w:p w14:paraId="561CB35F" w14:textId="77777777" w:rsidR="00C13E1D" w:rsidRPr="000D0684" w:rsidRDefault="00C13E1D" w:rsidP="00C13E1D">
      <w:pPr>
        <w:spacing w:before="240" w:after="0" w:line="360" w:lineRule="auto"/>
        <w:rPr>
          <w:rFonts w:ascii="Times New Roman" w:eastAsia="Times New Roman" w:hAnsi="Times New Roman" w:cs="Times New Roman"/>
          <w:b/>
          <w:bCs/>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t xml:space="preserve">TUR-117 (451 m a. s. l.): </w:t>
      </w:r>
      <w:r w:rsidRPr="000D0684">
        <w:rPr>
          <w:rFonts w:ascii="Times New Roman" w:eastAsia="Times New Roman" w:hAnsi="Times New Roman" w:cs="Times New Roman"/>
          <w:color w:val="000000"/>
          <w:kern w:val="0"/>
          <w:sz w:val="20"/>
          <w:szCs w:val="20"/>
          <w:lang w:eastAsia="en-GB"/>
          <w14:ligatures w14:val="none"/>
        </w:rPr>
        <w:t>Granite erratic boulder recovered from relatively flat surface of the lower Turtle Rock platform. The lithology is exotic, and the shape is well-rounded suggesting long-distance subglacial transport, the degree of weathering is minor.</w:t>
      </w:r>
    </w:p>
    <w:p w14:paraId="261A2479" w14:textId="77777777" w:rsidR="00C13E1D" w:rsidRPr="000D0684" w:rsidRDefault="00C13E1D" w:rsidP="00C13E1D">
      <w:pPr>
        <w:spacing w:before="240" w:after="0" w:line="360" w:lineRule="auto"/>
        <w:rPr>
          <w:rFonts w:ascii="Times New Roman" w:eastAsia="Times New Roman" w:hAnsi="Times New Roman" w:cs="Times New Roman"/>
          <w:b/>
          <w:bCs/>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lastRenderedPageBreak/>
        <w:t xml:space="preserve">TUR-123 (639 m a. s. l.): </w:t>
      </w:r>
      <w:r w:rsidRPr="000D0684">
        <w:rPr>
          <w:rFonts w:ascii="Times New Roman" w:eastAsia="Times New Roman" w:hAnsi="Times New Roman" w:cs="Times New Roman"/>
          <w:color w:val="000000"/>
          <w:kern w:val="0"/>
          <w:sz w:val="20"/>
          <w:szCs w:val="20"/>
          <w:lang w:eastAsia="en-GB"/>
          <w14:ligatures w14:val="none"/>
        </w:rPr>
        <w:t xml:space="preserve">Granite erratic boulder recovered from the upper slope of Turtle Rock. The lithology is exotic, and the shape is sub-rounded suggesting long-distance subglacial transport, degree of weathering is moderate. </w:t>
      </w:r>
    </w:p>
    <w:p w14:paraId="53F60215" w14:textId="77777777" w:rsidR="00C13E1D" w:rsidRPr="000D0684" w:rsidRDefault="00C13E1D" w:rsidP="00C13E1D">
      <w:pPr>
        <w:spacing w:before="240" w:after="0" w:line="360" w:lineRule="auto"/>
        <w:rPr>
          <w:rFonts w:ascii="Times New Roman" w:eastAsia="Times New Roman" w:hAnsi="Times New Roman" w:cs="Times New Roman"/>
          <w:b/>
          <w:bCs/>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t xml:space="preserve">TUR-132 (446 m a. s. l.) : </w:t>
      </w:r>
      <w:r w:rsidRPr="000D0684">
        <w:rPr>
          <w:rFonts w:ascii="Times New Roman" w:eastAsia="Times New Roman" w:hAnsi="Times New Roman" w:cs="Times New Roman"/>
          <w:color w:val="000000"/>
          <w:kern w:val="0"/>
          <w:sz w:val="20"/>
          <w:szCs w:val="20"/>
          <w:lang w:eastAsia="en-GB"/>
          <w14:ligatures w14:val="none"/>
        </w:rPr>
        <w:t xml:space="preserve">Granite erratic boulder recovered from relatively flat surface of the lower Turtle Rock platform.  Lithology is exotic and the shape is sub-rounded suggesting long-distance subglacial transport, the degree of weathering is moderate to slight. </w:t>
      </w:r>
    </w:p>
    <w:p w14:paraId="1FBACE73" w14:textId="77777777" w:rsidR="00C13E1D" w:rsidRPr="000D0684" w:rsidRDefault="00C13E1D" w:rsidP="002179EB">
      <w:pPr>
        <w:spacing w:before="240" w:after="240" w:line="360" w:lineRule="auto"/>
        <w:rPr>
          <w:rFonts w:ascii="Times New Roman" w:eastAsia="Times New Roman" w:hAnsi="Times New Roman" w:cs="Times New Roman"/>
          <w:b/>
          <w:bCs/>
          <w:kern w:val="0"/>
          <w:sz w:val="20"/>
          <w:szCs w:val="20"/>
          <w:lang w:eastAsia="en-GB"/>
          <w14:ligatures w14:val="none"/>
        </w:rPr>
      </w:pPr>
      <w:r w:rsidRPr="000D0684">
        <w:rPr>
          <w:rFonts w:eastAsia="Times New Roman" w:cstheme="minorHAnsi"/>
          <w:noProof/>
          <w:kern w:val="0"/>
          <w:sz w:val="20"/>
          <w:szCs w:val="20"/>
          <w:bdr w:val="none" w:sz="0" w:space="0" w:color="auto" w:frame="1"/>
          <w:lang w:eastAsia="en-GB"/>
          <w14:ligatures w14:val="none"/>
        </w:rPr>
        <w:drawing>
          <wp:inline distT="0" distB="0" distL="0" distR="0" wp14:anchorId="50DA8105" wp14:editId="7CE15188">
            <wp:extent cx="5733546" cy="1403350"/>
            <wp:effectExtent l="0" t="0" r="635" b="6350"/>
            <wp:docPr id="1522174861" name="Picture 7" descr="A graph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74861" name="Picture 7" descr="A graph and a diagram&#10;&#10;Description automatically generated with medium confidence"/>
                    <pic:cNvPicPr>
                      <a:picLocks noChangeAspect="1" noChangeArrowheads="1"/>
                    </pic:cNvPicPr>
                  </pic:nvPicPr>
                  <pic:blipFill rotWithShape="1">
                    <a:blip r:embed="rId7">
                      <a:extLst>
                        <a:ext uri="{28A0092B-C50C-407E-A947-70E740481C1C}">
                          <a14:useLocalDpi xmlns:a14="http://schemas.microsoft.com/office/drawing/2010/main" val="0"/>
                        </a:ext>
                      </a:extLst>
                    </a:blip>
                    <a:srcRect l="815" t="12639" r="1080" b="6968"/>
                    <a:stretch/>
                  </pic:blipFill>
                  <pic:spPr bwMode="auto">
                    <a:xfrm>
                      <a:off x="0" y="0"/>
                      <a:ext cx="5764982" cy="1411044"/>
                    </a:xfrm>
                    <a:prstGeom prst="rect">
                      <a:avLst/>
                    </a:prstGeom>
                    <a:noFill/>
                    <a:ln>
                      <a:noFill/>
                    </a:ln>
                    <a:extLst>
                      <a:ext uri="{53640926-AAD7-44D8-BBD7-CCE9431645EC}">
                        <a14:shadowObscured xmlns:a14="http://schemas.microsoft.com/office/drawing/2010/main"/>
                      </a:ext>
                    </a:extLst>
                  </pic:spPr>
                </pic:pic>
              </a:graphicData>
            </a:graphic>
          </wp:inline>
        </w:drawing>
      </w:r>
    </w:p>
    <w:p w14:paraId="5C8EDE0E" w14:textId="4FDF9903" w:rsidR="00C13E1D" w:rsidRPr="003E40D7" w:rsidRDefault="00C13E1D" w:rsidP="003E40D7">
      <w:pPr>
        <w:spacing w:before="240" w:after="240" w:line="360" w:lineRule="auto"/>
        <w:rPr>
          <w:rFonts w:ascii="Times New Roman" w:eastAsia="Times New Roman" w:hAnsi="Times New Roman" w:cs="Times New Roman"/>
          <w:color w:val="000000"/>
          <w:kern w:val="0"/>
          <w:sz w:val="20"/>
          <w:szCs w:val="20"/>
          <w:lang w:eastAsia="en-GB"/>
          <w14:ligatures w14:val="none"/>
        </w:rPr>
      </w:pPr>
      <w:r w:rsidRPr="000D0684">
        <w:rPr>
          <w:rFonts w:ascii="Times New Roman" w:eastAsia="Times New Roman" w:hAnsi="Times New Roman" w:cs="Times New Roman"/>
          <w:b/>
          <w:bCs/>
          <w:kern w:val="0"/>
          <w:sz w:val="20"/>
          <w:szCs w:val="20"/>
          <w:lang w:eastAsia="en-GB"/>
          <w14:ligatures w14:val="none"/>
        </w:rPr>
        <w:t>Figure S2</w:t>
      </w:r>
      <w:r w:rsidRPr="000D0684">
        <w:rPr>
          <w:rFonts w:ascii="Times New Roman" w:eastAsia="Times New Roman" w:hAnsi="Times New Roman" w:cs="Times New Roman"/>
          <w:kern w:val="0"/>
          <w:sz w:val="20"/>
          <w:szCs w:val="20"/>
          <w:lang w:eastAsia="en-GB"/>
          <w14:ligatures w14:val="none"/>
        </w:rPr>
        <w:t xml:space="preserve"> </w:t>
      </w:r>
      <w:r w:rsidRPr="000D0684">
        <w:rPr>
          <w:rFonts w:ascii="Times New Roman" w:eastAsia="Times New Roman" w:hAnsi="Times New Roman" w:cs="Times New Roman"/>
          <w:color w:val="000000"/>
          <w:kern w:val="0"/>
          <w:sz w:val="20"/>
          <w:szCs w:val="20"/>
          <w:lang w:eastAsia="en-GB"/>
          <w14:ligatures w14:val="none"/>
        </w:rPr>
        <w:t>TUR 132 sample location at Turtle Rock and transect line with E-W topographic profile.</w:t>
      </w:r>
      <w:r w:rsidR="003E40D7">
        <w:rPr>
          <w:rFonts w:ascii="Times New Roman" w:eastAsia="Times New Roman" w:hAnsi="Times New Roman" w:cs="Times New Roman"/>
          <w:color w:val="000000"/>
          <w:kern w:val="0"/>
          <w:sz w:val="20"/>
          <w:szCs w:val="20"/>
          <w:lang w:eastAsia="en-GB"/>
          <w14:ligatures w14:val="none"/>
        </w:rPr>
        <w:t xml:space="preserve"> Satellite</w:t>
      </w:r>
      <w:r w:rsidR="003E40D7" w:rsidRPr="003E40D7">
        <w:rPr>
          <w:rFonts w:ascii="Times New Roman" w:eastAsia="Times New Roman" w:hAnsi="Times New Roman" w:cs="Times New Roman"/>
          <w:color w:val="000000"/>
          <w:kern w:val="0"/>
          <w:sz w:val="20"/>
          <w:szCs w:val="20"/>
          <w:lang w:eastAsia="en-GB"/>
          <w14:ligatures w14:val="none"/>
        </w:rPr>
        <w:t xml:space="preserve"> imagery from DigitalGlobe products, © WorldView-</w:t>
      </w:r>
      <w:r w:rsidR="003E40D7">
        <w:rPr>
          <w:rFonts w:ascii="Times New Roman" w:eastAsia="Times New Roman" w:hAnsi="Times New Roman" w:cs="Times New Roman"/>
          <w:color w:val="000000"/>
          <w:kern w:val="0"/>
          <w:sz w:val="20"/>
          <w:szCs w:val="20"/>
          <w:lang w:eastAsia="en-GB"/>
          <w14:ligatures w14:val="none"/>
        </w:rPr>
        <w:t>2</w:t>
      </w:r>
      <w:r w:rsidR="003E40D7" w:rsidRPr="003E40D7">
        <w:rPr>
          <w:rFonts w:ascii="Times New Roman" w:eastAsia="Times New Roman" w:hAnsi="Times New Roman" w:cs="Times New Roman"/>
          <w:color w:val="000000"/>
          <w:kern w:val="0"/>
          <w:sz w:val="20"/>
          <w:szCs w:val="20"/>
          <w:lang w:eastAsia="en-GB"/>
          <w14:ligatures w14:val="none"/>
        </w:rPr>
        <w:t xml:space="preserve"> DigitalGlobe, Inc., a Maxar company.</w:t>
      </w:r>
    </w:p>
    <w:p w14:paraId="6FE9957A" w14:textId="77777777" w:rsidR="00C13E1D" w:rsidRPr="000D0684" w:rsidRDefault="00C13E1D" w:rsidP="00C13E1D">
      <w:pPr>
        <w:spacing w:before="240" w:after="240" w:line="360" w:lineRule="auto"/>
        <w:rPr>
          <w:rFonts w:ascii="Times New Roman" w:eastAsia="Times New Roman" w:hAnsi="Times New Roman" w:cs="Times New Roman"/>
          <w:b/>
          <w:bCs/>
          <w:color w:val="000000"/>
          <w:kern w:val="0"/>
          <w:sz w:val="20"/>
          <w:szCs w:val="20"/>
          <w:u w:val="single"/>
          <w:lang w:eastAsia="en-GB"/>
          <w14:ligatures w14:val="none"/>
        </w:rPr>
      </w:pPr>
    </w:p>
    <w:p w14:paraId="6F1853B7" w14:textId="77777777" w:rsidR="00C13E1D" w:rsidRPr="000D0684" w:rsidRDefault="00C13E1D" w:rsidP="00C13E1D">
      <w:pPr>
        <w:spacing w:after="240" w:line="360" w:lineRule="auto"/>
        <w:rPr>
          <w:rFonts w:eastAsia="Times New Roman" w:cstheme="minorHAnsi"/>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u w:val="single"/>
          <w:lang w:eastAsia="en-GB"/>
          <w14:ligatures w14:val="none"/>
        </w:rPr>
        <w:t>SCORIA CONE</w:t>
      </w:r>
    </w:p>
    <w:p w14:paraId="135090FD" w14:textId="72F165A9" w:rsidR="00C13E1D" w:rsidRPr="000D0684" w:rsidRDefault="00C13E1D" w:rsidP="00C13E1D">
      <w:pPr>
        <w:spacing w:after="240" w:line="360" w:lineRule="auto"/>
        <w:rPr>
          <w:rFonts w:ascii="Times New Roman" w:eastAsia="Times New Roman" w:hAnsi="Times New Roman" w:cs="Times New Roman"/>
          <w:kern w:val="0"/>
          <w:sz w:val="20"/>
          <w:szCs w:val="20"/>
          <w:lang w:eastAsia="en-GB"/>
          <w14:ligatures w14:val="none"/>
        </w:rPr>
      </w:pPr>
      <w:r w:rsidRPr="000D0684">
        <w:rPr>
          <w:rFonts w:ascii="Times New Roman" w:eastAsia="Times New Roman" w:hAnsi="Times New Roman" w:cs="Times New Roman"/>
          <w:color w:val="000000"/>
          <w:kern w:val="0"/>
          <w:sz w:val="20"/>
          <w:szCs w:val="20"/>
          <w:lang w:eastAsia="en-GB"/>
          <w14:ligatures w14:val="none"/>
        </w:rPr>
        <w:t xml:space="preserve">CIN samples were recovered </w:t>
      </w:r>
      <w:r w:rsidRPr="000D0684">
        <w:rPr>
          <w:rFonts w:ascii="Times New Roman" w:eastAsia="Times New Roman" w:hAnsi="Times New Roman" w:cs="Times New Roman"/>
          <w:kern w:val="0"/>
          <w:sz w:val="20"/>
          <w:szCs w:val="20"/>
          <w:lang w:eastAsia="en-GB"/>
          <w14:ligatures w14:val="none"/>
        </w:rPr>
        <w:t xml:space="preserve">from a parasitic scoria cone ~ 1.5 km west of Kay Peak ridge which comprises of two separate outcrops: A (Fig 3.S3) and B (Fig 3.S4). There is evidence to suggest the lower outcrop was covered by ice for a non-zero duration during the late Holocene. </w:t>
      </w:r>
      <w:r w:rsidR="000D0684">
        <w:rPr>
          <w:rFonts w:ascii="Times New Roman" w:eastAsia="Times New Roman" w:hAnsi="Times New Roman" w:cs="Times New Roman"/>
          <w:kern w:val="0"/>
          <w:sz w:val="20"/>
          <w:szCs w:val="20"/>
          <w:lang w:eastAsia="en-GB"/>
          <w14:ligatures w14:val="none"/>
        </w:rPr>
        <w:t xml:space="preserve">The </w:t>
      </w:r>
      <w:r w:rsidRPr="000D0684">
        <w:rPr>
          <w:rFonts w:ascii="Times New Roman" w:eastAsia="Times New Roman" w:hAnsi="Times New Roman" w:cs="Times New Roman"/>
          <w:kern w:val="0"/>
          <w:sz w:val="20"/>
          <w:szCs w:val="20"/>
          <w:lang w:eastAsia="en-GB"/>
          <w14:ligatures w14:val="none"/>
        </w:rPr>
        <w:t xml:space="preserve">scoria cone outcrops are well described in </w:t>
      </w:r>
      <w:r w:rsidR="000D0684">
        <w:rPr>
          <w:rFonts w:ascii="Times New Roman" w:eastAsia="Times New Roman" w:hAnsi="Times New Roman" w:cs="Times New Roman"/>
          <w:kern w:val="0"/>
          <w:sz w:val="20"/>
          <w:szCs w:val="20"/>
          <w:lang w:eastAsia="en-GB"/>
          <w14:ligatures w14:val="none"/>
        </w:rPr>
        <w:fldChar w:fldCharType="begin" w:fldLock="1"/>
      </w:r>
      <w:r w:rsidR="007D50C5">
        <w:rPr>
          <w:rFonts w:ascii="Times New Roman" w:eastAsia="Times New Roman" w:hAnsi="Times New Roman" w:cs="Times New Roman"/>
          <w:kern w:val="0"/>
          <w:sz w:val="20"/>
          <w:szCs w:val="20"/>
          <w:lang w:eastAsia="en-GB"/>
          <w14:ligatures w14:val="none"/>
        </w:rPr>
        <w:instrText>ADDIN CSL_CITATION {"citationItems":[{"id":"ITEM-1","itemData":{"DOI":"10.5194/tc-16-4887-2022","ISSN":"19940424","abstract":"Evidence for the timing and pace of past grounding line retreat of the Thwaites Glacier system in the Amundsen Sea embayment (ASE) of Antarctica provides constraints for models that are used to predict the future trajectory of the West Antarctic Ice Sheet (WAIS). Existing cosmogenic nuclide surface exposure ages suggest that Pope Glacier, a former tributary of Thwaites Glacier, experienced rapid thinning in the early to mid-Holocene. There are relatively few exposure ages from the lower ice-free sections of Mt. Murphy (&lt;300 m a.s.l.; metres above sea level) that are uncomplicated by either nuclide inheritance or scatter due to localised topographic complexities; this makes the trajectory for the latter stages of deglaciation uncertain. This paper presents 12 new 10Be exposure ages from erratic cobbles collected from the western flank of Mt. Murphy, within 160 m of the modern ice surface and 1 km from the present grounding line. The ages comprise two tightly clustered populations with mean deglaciation ages of 7.1 ± 0.1 and 6.4 ± 0.1 ka (1 SE). Linear regression analysis applied to the age-elevation array of all available exposure ages from Mt. Murphy indicates that the median rate of thinning of Pope Glacier was 0.27 m yr-1 between 8.1-6.3 ka, occurring 1.5 times faster than previously thought. Furthermore, this analysis better constrains the uncertainty (95 % confidence interval) in the timing of deglaciation at the base of the Mt. Murphy vertical profile (</w:instrText>
      </w:r>
      <w:r w:rsidR="007D50C5">
        <w:rPr>
          <w:rFonts w:ascii="Cambria Math" w:eastAsia="Times New Roman" w:hAnsi="Cambria Math" w:cs="Cambria Math"/>
          <w:kern w:val="0"/>
          <w:sz w:val="20"/>
          <w:szCs w:val="20"/>
          <w:lang w:eastAsia="en-GB"/>
          <w14:ligatures w14:val="none"/>
        </w:rPr>
        <w:instrText>∼</w:instrText>
      </w:r>
      <w:r w:rsidR="007D50C5">
        <w:rPr>
          <w:rFonts w:ascii="Times New Roman" w:eastAsia="Times New Roman" w:hAnsi="Times New Roman" w:cs="Times New Roman"/>
          <w:kern w:val="0"/>
          <w:sz w:val="20"/>
          <w:szCs w:val="20"/>
          <w:lang w:eastAsia="en-GB"/>
          <w14:ligatures w14:val="none"/>
        </w:rPr>
        <w:instrText xml:space="preserve"> 80 m above the modern ice surface), shifting it to earlier in the Holocene (from 5.2 ± 0.7 to 6.3 ± 0.4 ka). Taken together, the results presented here suggest that early- to mid-Holocene thinning of Pope Glacier occurred over a shorter interval than previously assumed and permit a longer duration over which subsequent late Holocene re-thickening could have occurred.","author":[{"dropping-particle":"","family":"Adams","given":"Jonathan R.","non-dropping-particle":"","parse-names":false,"suffix":""},{"dropping-particle":"","family":"Johnson","given":"Joanne S.","non-dropping-particle":"","parse-names":false,"suffix":""},{"dropping-particle":"","family":"Roberts","given":"Stephen J.","non-dropping-particle":"","parse-names":false,"suffix":""},{"dropping-particle":"","family":"Mason","given":"Philippa J.","non-dropping-particle":"","parse-names":false,"suffix":""},{"dropping-particle":"","family":"Nichols","given":"Keir A.","non-dropping-particle":"","parse-names":false,"suffix":""},{"dropping-particle":"","family":"Venturelli","given":"Ryan A.","non-dropping-particle":"","parse-names":false,"suffix":""},{"dropping-particle":"","family":"Wilcken","given":"Klaus","non-dropping-particle":"","parse-names":false,"suffix":""},{"dropping-particle":"","family":"Balco","given":"Greg","non-dropping-particle":"","parse-names":false,"suffix":""},{"dropping-particle":"","family":"Goehring","given":"Brent","non-dropping-particle":"","parse-names":false,"suffix":""},{"dropping-particle":"","family":"Hall","given":"Brenda","non-dropping-particle":"","parse-names":false,"suffix":""},{"dropping-particle":"","family":"Woodward","given":"John","non-dropping-particle":"","parse-names":false,"suffix":""},{"dropping-particle":"","family":"Rood","given":"Dylan H.","non-dropping-particle":"","parse-names":false,"suffix":""}],"container-title":"The Cryosphere","id":"ITEM-1","issue":"12","issued":{"date-parts":[["2022"]]},"page":"4887-4905","title":"New ¹⁰Be exposure ages improve Holocene ice sheet thinning history near the grounding line of Pope Glacier, Antarctica","type":"article-journal","volume":"16"},"uris":["http://www.mendeley.com/documents/?uuid=c2be1d47-a545-4661-ba15-8d7a35ad9450"]}],"mendeley":{"formattedCitation":"(Adams et al., 2022)","manualFormatting":"Adams et al., (2022)","plainTextFormattedCitation":"(Adams et al., 2022)","previouslyFormattedCitation":"(Adams et al., 2022)"},"properties":{"noteIndex":0},"schema":"https://github.com/citation-style-language/schema/raw/master/csl-citation.json"}</w:instrText>
      </w:r>
      <w:r w:rsidR="000D0684">
        <w:rPr>
          <w:rFonts w:ascii="Times New Roman" w:eastAsia="Times New Roman" w:hAnsi="Times New Roman" w:cs="Times New Roman"/>
          <w:kern w:val="0"/>
          <w:sz w:val="20"/>
          <w:szCs w:val="20"/>
          <w:lang w:eastAsia="en-GB"/>
          <w14:ligatures w14:val="none"/>
        </w:rPr>
        <w:fldChar w:fldCharType="separate"/>
      </w:r>
      <w:r w:rsidR="000D0684" w:rsidRPr="000D0684">
        <w:rPr>
          <w:rFonts w:ascii="Times New Roman" w:eastAsia="Times New Roman" w:hAnsi="Times New Roman" w:cs="Times New Roman"/>
          <w:noProof/>
          <w:kern w:val="0"/>
          <w:sz w:val="20"/>
          <w:szCs w:val="20"/>
          <w:lang w:eastAsia="en-GB"/>
          <w14:ligatures w14:val="none"/>
        </w:rPr>
        <w:t xml:space="preserve">Adams et al., </w:t>
      </w:r>
      <w:r w:rsidR="000D0684">
        <w:rPr>
          <w:rFonts w:ascii="Times New Roman" w:eastAsia="Times New Roman" w:hAnsi="Times New Roman" w:cs="Times New Roman"/>
          <w:noProof/>
          <w:kern w:val="0"/>
          <w:sz w:val="20"/>
          <w:szCs w:val="20"/>
          <w:lang w:eastAsia="en-GB"/>
          <w14:ligatures w14:val="none"/>
        </w:rPr>
        <w:t>(</w:t>
      </w:r>
      <w:r w:rsidR="000D0684" w:rsidRPr="000D0684">
        <w:rPr>
          <w:rFonts w:ascii="Times New Roman" w:eastAsia="Times New Roman" w:hAnsi="Times New Roman" w:cs="Times New Roman"/>
          <w:noProof/>
          <w:kern w:val="0"/>
          <w:sz w:val="20"/>
          <w:szCs w:val="20"/>
          <w:lang w:eastAsia="en-GB"/>
          <w14:ligatures w14:val="none"/>
        </w:rPr>
        <w:t>2022)</w:t>
      </w:r>
      <w:r w:rsidR="000D0684">
        <w:rPr>
          <w:rFonts w:ascii="Times New Roman" w:eastAsia="Times New Roman" w:hAnsi="Times New Roman" w:cs="Times New Roman"/>
          <w:kern w:val="0"/>
          <w:sz w:val="20"/>
          <w:szCs w:val="20"/>
          <w:lang w:eastAsia="en-GB"/>
          <w14:ligatures w14:val="none"/>
        </w:rPr>
        <w:fldChar w:fldCharType="end"/>
      </w:r>
      <w:r w:rsidR="000D0684">
        <w:rPr>
          <w:rFonts w:ascii="Times New Roman" w:eastAsia="Times New Roman" w:hAnsi="Times New Roman" w:cs="Times New Roman"/>
          <w:kern w:val="0"/>
          <w:sz w:val="20"/>
          <w:szCs w:val="20"/>
          <w:lang w:eastAsia="en-GB"/>
          <w14:ligatures w14:val="none"/>
        </w:rPr>
        <w:t>.</w:t>
      </w:r>
    </w:p>
    <w:p w14:paraId="14D6F6FB" w14:textId="77777777" w:rsidR="00C13E1D" w:rsidRDefault="00C13E1D" w:rsidP="002179EB">
      <w:pPr>
        <w:spacing w:before="240" w:after="0" w:line="360" w:lineRule="auto"/>
        <w:rPr>
          <w:rFonts w:ascii="Times New Roman" w:eastAsia="Times New Roman" w:hAnsi="Times New Roman" w:cs="Times New Roman"/>
          <w:b/>
          <w:bCs/>
          <w:kern w:val="0"/>
          <w:sz w:val="20"/>
          <w:szCs w:val="20"/>
          <w:lang w:eastAsia="en-GB"/>
          <w14:ligatures w14:val="none"/>
        </w:rPr>
      </w:pPr>
      <w:r w:rsidRPr="007F5B61">
        <w:rPr>
          <w:rFonts w:eastAsia="Times New Roman" w:cstheme="minorHAnsi"/>
          <w:noProof/>
          <w:kern w:val="0"/>
          <w:bdr w:val="none" w:sz="0" w:space="0" w:color="auto" w:frame="1"/>
          <w:lang w:eastAsia="en-GB"/>
          <w14:ligatures w14:val="none"/>
        </w:rPr>
        <w:drawing>
          <wp:inline distT="0" distB="0" distL="0" distR="0" wp14:anchorId="032AF395" wp14:editId="0F60E52E">
            <wp:extent cx="5668529" cy="1771650"/>
            <wp:effectExtent l="0" t="0" r="8890" b="0"/>
            <wp:docPr id="276272261" name="Picture 5" descr="A graph and a picture of a snow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272261" name="Picture 5" descr="A graph and a picture of a snowboar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4407" cy="1795365"/>
                    </a:xfrm>
                    <a:prstGeom prst="rect">
                      <a:avLst/>
                    </a:prstGeom>
                    <a:noFill/>
                    <a:ln>
                      <a:noFill/>
                    </a:ln>
                  </pic:spPr>
                </pic:pic>
              </a:graphicData>
            </a:graphic>
          </wp:inline>
        </w:drawing>
      </w:r>
    </w:p>
    <w:p w14:paraId="15CDB016" w14:textId="29E7FAD3" w:rsidR="00C13E1D" w:rsidRPr="00814FF0" w:rsidRDefault="00C13E1D" w:rsidP="00C13E1D">
      <w:pPr>
        <w:spacing w:before="240" w:after="0" w:line="360" w:lineRule="auto"/>
        <w:rPr>
          <w:rFonts w:ascii="Times New Roman" w:eastAsia="Times New Roman" w:hAnsi="Times New Roman" w:cs="Times New Roman"/>
          <w:color w:val="000000"/>
          <w:kern w:val="0"/>
          <w:lang w:eastAsia="en-GB"/>
          <w14:ligatures w14:val="none"/>
        </w:rPr>
      </w:pPr>
      <w:r w:rsidRPr="002E6246">
        <w:rPr>
          <w:rFonts w:ascii="Times New Roman" w:eastAsia="Times New Roman" w:hAnsi="Times New Roman" w:cs="Times New Roman"/>
          <w:b/>
          <w:bCs/>
          <w:kern w:val="0"/>
          <w:sz w:val="20"/>
          <w:szCs w:val="20"/>
          <w:lang w:eastAsia="en-GB"/>
          <w14:ligatures w14:val="none"/>
        </w:rPr>
        <w:t>Figure S3:</w:t>
      </w:r>
      <w:r w:rsidRPr="002E6246">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color w:val="000000"/>
          <w:kern w:val="0"/>
          <w:sz w:val="20"/>
          <w:szCs w:val="20"/>
          <w:lang w:eastAsia="en-GB"/>
          <w14:ligatures w14:val="none"/>
        </w:rPr>
        <w:t>CIN-102 sample location at scoria cone outcrop A and transect with E-W topographic profile.</w:t>
      </w:r>
      <w:r w:rsidR="003E40D7">
        <w:rPr>
          <w:rFonts w:ascii="Times New Roman" w:eastAsia="Times New Roman" w:hAnsi="Times New Roman" w:cs="Times New Roman"/>
          <w:color w:val="000000"/>
          <w:kern w:val="0"/>
          <w:sz w:val="20"/>
          <w:szCs w:val="20"/>
          <w:lang w:eastAsia="en-GB"/>
          <w14:ligatures w14:val="none"/>
        </w:rPr>
        <w:t xml:space="preserve"> Satellite</w:t>
      </w:r>
      <w:r w:rsidR="003E40D7" w:rsidRPr="003E40D7">
        <w:rPr>
          <w:rFonts w:ascii="Times New Roman" w:eastAsia="Times New Roman" w:hAnsi="Times New Roman" w:cs="Times New Roman"/>
          <w:color w:val="000000"/>
          <w:kern w:val="0"/>
          <w:sz w:val="20"/>
          <w:szCs w:val="20"/>
          <w:lang w:eastAsia="en-GB"/>
          <w14:ligatures w14:val="none"/>
        </w:rPr>
        <w:t xml:space="preserve"> imagery from DigitalGlobe products, © WorldView-</w:t>
      </w:r>
      <w:r w:rsidR="003E40D7">
        <w:rPr>
          <w:rFonts w:ascii="Times New Roman" w:eastAsia="Times New Roman" w:hAnsi="Times New Roman" w:cs="Times New Roman"/>
          <w:color w:val="000000"/>
          <w:kern w:val="0"/>
          <w:sz w:val="20"/>
          <w:szCs w:val="20"/>
          <w:lang w:eastAsia="en-GB"/>
          <w14:ligatures w14:val="none"/>
        </w:rPr>
        <w:t>2</w:t>
      </w:r>
      <w:r w:rsidR="003E40D7" w:rsidRPr="003E40D7">
        <w:rPr>
          <w:rFonts w:ascii="Times New Roman" w:eastAsia="Times New Roman" w:hAnsi="Times New Roman" w:cs="Times New Roman"/>
          <w:color w:val="000000"/>
          <w:kern w:val="0"/>
          <w:sz w:val="20"/>
          <w:szCs w:val="20"/>
          <w:lang w:eastAsia="en-GB"/>
          <w14:ligatures w14:val="none"/>
        </w:rPr>
        <w:t xml:space="preserve"> DigitalGlobe, Inc., a Maxar company.</w:t>
      </w:r>
    </w:p>
    <w:p w14:paraId="1A96507E" w14:textId="09F3DC2B" w:rsidR="00C13E1D" w:rsidRPr="002179EB" w:rsidRDefault="00C13E1D" w:rsidP="002179EB">
      <w:pPr>
        <w:spacing w:before="240" w:after="0" w:line="360" w:lineRule="auto"/>
        <w:rPr>
          <w:rFonts w:eastAsia="Times New Roman" w:cstheme="minorHAnsi"/>
          <w:kern w:val="0"/>
          <w:lang w:eastAsia="en-GB"/>
          <w14:ligatures w14:val="none"/>
        </w:rPr>
      </w:pPr>
      <w:r w:rsidRPr="007F5B61">
        <w:rPr>
          <w:rFonts w:eastAsia="Times New Roman" w:cstheme="minorHAnsi"/>
          <w:noProof/>
          <w:kern w:val="0"/>
          <w:bdr w:val="none" w:sz="0" w:space="0" w:color="auto" w:frame="1"/>
          <w:lang w:eastAsia="en-GB"/>
          <w14:ligatures w14:val="none"/>
        </w:rPr>
        <w:lastRenderedPageBreak/>
        <w:drawing>
          <wp:inline distT="0" distB="0" distL="0" distR="0" wp14:anchorId="280A6D5E" wp14:editId="43E6E602">
            <wp:extent cx="5830625" cy="1905000"/>
            <wp:effectExtent l="0" t="0" r="0" b="0"/>
            <wp:docPr id="1820281858" name="Picture 1" descr="A graph and a picture of a black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281858" name="Picture 1" descr="A graph and a picture of a black and white imag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6649" cy="1910235"/>
                    </a:xfrm>
                    <a:prstGeom prst="rect">
                      <a:avLst/>
                    </a:prstGeom>
                    <a:noFill/>
                    <a:ln>
                      <a:noFill/>
                    </a:ln>
                  </pic:spPr>
                </pic:pic>
              </a:graphicData>
            </a:graphic>
          </wp:inline>
        </w:drawing>
      </w:r>
      <w:r w:rsidRPr="002E6246">
        <w:rPr>
          <w:rFonts w:ascii="Times New Roman" w:eastAsia="Times New Roman" w:hAnsi="Times New Roman" w:cs="Times New Roman"/>
          <w:b/>
          <w:bCs/>
          <w:kern w:val="0"/>
          <w:sz w:val="20"/>
          <w:szCs w:val="20"/>
          <w:lang w:eastAsia="en-GB"/>
          <w14:ligatures w14:val="none"/>
        </w:rPr>
        <w:t>Figure S4:</w:t>
      </w:r>
      <w:r w:rsidRPr="002E6246">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color w:val="000000"/>
          <w:kern w:val="0"/>
          <w:sz w:val="20"/>
          <w:szCs w:val="20"/>
          <w:lang w:eastAsia="en-GB"/>
          <w14:ligatures w14:val="none"/>
        </w:rPr>
        <w:t>CIN-108 sample location at scoria cone outcrop B and transect line with E-W topographic profile.</w:t>
      </w:r>
      <w:r w:rsidR="003E40D7">
        <w:rPr>
          <w:rFonts w:ascii="Times New Roman" w:eastAsia="Times New Roman" w:hAnsi="Times New Roman" w:cs="Times New Roman"/>
          <w:color w:val="000000"/>
          <w:kern w:val="0"/>
          <w:sz w:val="20"/>
          <w:szCs w:val="20"/>
          <w:lang w:eastAsia="en-GB"/>
          <w14:ligatures w14:val="none"/>
        </w:rPr>
        <w:t xml:space="preserve"> Satellite</w:t>
      </w:r>
      <w:r w:rsidR="003E40D7" w:rsidRPr="003E40D7">
        <w:rPr>
          <w:rFonts w:ascii="Times New Roman" w:eastAsia="Times New Roman" w:hAnsi="Times New Roman" w:cs="Times New Roman"/>
          <w:color w:val="000000"/>
          <w:kern w:val="0"/>
          <w:sz w:val="20"/>
          <w:szCs w:val="20"/>
          <w:lang w:eastAsia="en-GB"/>
          <w14:ligatures w14:val="none"/>
        </w:rPr>
        <w:t xml:space="preserve"> imagery from DigitalGlobe products, © WorldView-</w:t>
      </w:r>
      <w:r w:rsidR="003E40D7">
        <w:rPr>
          <w:rFonts w:ascii="Times New Roman" w:eastAsia="Times New Roman" w:hAnsi="Times New Roman" w:cs="Times New Roman"/>
          <w:color w:val="000000"/>
          <w:kern w:val="0"/>
          <w:sz w:val="20"/>
          <w:szCs w:val="20"/>
          <w:lang w:eastAsia="en-GB"/>
          <w14:ligatures w14:val="none"/>
        </w:rPr>
        <w:t>2</w:t>
      </w:r>
      <w:r w:rsidR="003E40D7" w:rsidRPr="003E40D7">
        <w:rPr>
          <w:rFonts w:ascii="Times New Roman" w:eastAsia="Times New Roman" w:hAnsi="Times New Roman" w:cs="Times New Roman"/>
          <w:color w:val="000000"/>
          <w:kern w:val="0"/>
          <w:sz w:val="20"/>
          <w:szCs w:val="20"/>
          <w:lang w:eastAsia="en-GB"/>
          <w14:ligatures w14:val="none"/>
        </w:rPr>
        <w:t xml:space="preserve"> DigitalGlobe, Inc., a Maxar company.</w:t>
      </w:r>
    </w:p>
    <w:p w14:paraId="139AA0C2" w14:textId="77777777" w:rsidR="00C13E1D" w:rsidRPr="000D0684" w:rsidRDefault="00C13E1D" w:rsidP="00C13E1D">
      <w:pPr>
        <w:spacing w:before="240" w:after="240" w:line="360" w:lineRule="auto"/>
        <w:rPr>
          <w:rFonts w:ascii="Times New Roman" w:eastAsia="Times New Roman" w:hAnsi="Times New Roman" w:cs="Times New Roman"/>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t>CIN-102 (239 m a. s. l.)</w:t>
      </w:r>
      <w:r w:rsidRPr="000D0684">
        <w:rPr>
          <w:rFonts w:ascii="Times New Roman" w:eastAsia="Times New Roman" w:hAnsi="Times New Roman" w:cs="Times New Roman"/>
          <w:color w:val="000000"/>
          <w:kern w:val="0"/>
          <w:sz w:val="20"/>
          <w:szCs w:val="20"/>
          <w:lang w:eastAsia="en-GB"/>
          <w14:ligatures w14:val="none"/>
        </w:rPr>
        <w:t>: Gneiss erratic of similar lithology to Kay Peak, so there is potential it has been transported from a short distance. The shape of the erratic is subrounded to subangular, and the degree of weathering on the sample is moderate. </w:t>
      </w:r>
    </w:p>
    <w:p w14:paraId="2E15E1AF" w14:textId="77777777" w:rsidR="00C13E1D" w:rsidRPr="000D0684" w:rsidRDefault="00C13E1D" w:rsidP="00C13E1D">
      <w:pPr>
        <w:spacing w:before="240" w:after="0" w:line="360" w:lineRule="auto"/>
        <w:rPr>
          <w:rFonts w:ascii="Times New Roman" w:eastAsia="Times New Roman" w:hAnsi="Times New Roman" w:cs="Times New Roman"/>
          <w:b/>
          <w:bCs/>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t xml:space="preserve">CIN-108 (181 m </w:t>
      </w:r>
      <w:proofErr w:type="spellStart"/>
      <w:r w:rsidRPr="000D0684">
        <w:rPr>
          <w:rFonts w:ascii="Times New Roman" w:eastAsia="Times New Roman" w:hAnsi="Times New Roman" w:cs="Times New Roman"/>
          <w:b/>
          <w:bCs/>
          <w:color w:val="000000"/>
          <w:kern w:val="0"/>
          <w:sz w:val="20"/>
          <w:szCs w:val="20"/>
          <w:lang w:eastAsia="en-GB"/>
          <w14:ligatures w14:val="none"/>
        </w:rPr>
        <w:t>a.s.l</w:t>
      </w:r>
      <w:proofErr w:type="spellEnd"/>
      <w:r w:rsidRPr="000D0684">
        <w:rPr>
          <w:rFonts w:ascii="Times New Roman" w:eastAsia="Times New Roman" w:hAnsi="Times New Roman" w:cs="Times New Roman"/>
          <w:b/>
          <w:bCs/>
          <w:color w:val="000000"/>
          <w:kern w:val="0"/>
          <w:sz w:val="20"/>
          <w:szCs w:val="20"/>
          <w:lang w:eastAsia="en-GB"/>
          <w14:ligatures w14:val="none"/>
        </w:rPr>
        <w:t xml:space="preserve"> ): </w:t>
      </w:r>
      <w:r w:rsidRPr="000D0684">
        <w:rPr>
          <w:rFonts w:ascii="Times New Roman" w:eastAsia="Times New Roman" w:hAnsi="Times New Roman" w:cs="Times New Roman"/>
          <w:color w:val="000000"/>
          <w:kern w:val="0"/>
          <w:sz w:val="20"/>
          <w:szCs w:val="20"/>
          <w:lang w:eastAsia="en-GB"/>
          <w14:ligatures w14:val="none"/>
        </w:rPr>
        <w:t>Sub-rounded erratic of exotic granite lithology, suggesting probable long-distance transport, displays a moderate degree of weathering.</w:t>
      </w:r>
    </w:p>
    <w:p w14:paraId="187FBAB0" w14:textId="77777777" w:rsidR="00C13E1D" w:rsidRPr="000D0684" w:rsidRDefault="00C13E1D" w:rsidP="00C13E1D">
      <w:pPr>
        <w:spacing w:before="240" w:after="240" w:line="360" w:lineRule="auto"/>
        <w:rPr>
          <w:rFonts w:ascii="Times New Roman" w:eastAsia="Times New Roman" w:hAnsi="Times New Roman" w:cs="Times New Roman"/>
          <w:b/>
          <w:bCs/>
          <w:color w:val="000000"/>
          <w:kern w:val="0"/>
          <w:sz w:val="20"/>
          <w:szCs w:val="20"/>
          <w:lang w:eastAsia="en-GB"/>
          <w14:ligatures w14:val="none"/>
        </w:rPr>
      </w:pPr>
      <w:r w:rsidRPr="000D0684">
        <w:rPr>
          <w:rFonts w:ascii="Times New Roman" w:eastAsia="Times New Roman" w:hAnsi="Times New Roman" w:cs="Times New Roman"/>
          <w:b/>
          <w:bCs/>
          <w:color w:val="000000"/>
          <w:kern w:val="0"/>
          <w:sz w:val="20"/>
          <w:szCs w:val="20"/>
          <w:lang w:eastAsia="en-GB"/>
          <w14:ligatures w14:val="none"/>
        </w:rPr>
        <w:t xml:space="preserve">CIN-112 (179 m a. s. l.): </w:t>
      </w:r>
      <w:r w:rsidRPr="000D0684">
        <w:rPr>
          <w:rFonts w:ascii="Times New Roman" w:eastAsia="Times New Roman" w:hAnsi="Times New Roman" w:cs="Times New Roman"/>
          <w:color w:val="000000"/>
          <w:kern w:val="0"/>
          <w:sz w:val="20"/>
          <w:szCs w:val="20"/>
          <w:lang w:eastAsia="en-GB"/>
          <w14:ligatures w14:val="none"/>
        </w:rPr>
        <w:t>Sub-rounded erratic of aplite lithology, suggesting probable long-distance transport, although a small amount of aplite has also been documented at Kay Peak, sample displays a moderate degree of weathering</w:t>
      </w:r>
      <w:r w:rsidRPr="000D0684">
        <w:rPr>
          <w:rFonts w:ascii="Times New Roman" w:eastAsia="Times New Roman" w:hAnsi="Times New Roman" w:cs="Times New Roman"/>
          <w:b/>
          <w:bCs/>
          <w:color w:val="000000"/>
          <w:kern w:val="0"/>
          <w:sz w:val="20"/>
          <w:szCs w:val="20"/>
          <w:lang w:eastAsia="en-GB"/>
          <w14:ligatures w14:val="none"/>
        </w:rPr>
        <w:t xml:space="preserve">. </w:t>
      </w:r>
    </w:p>
    <w:p w14:paraId="7729A9AE" w14:textId="77777777" w:rsidR="00C13E1D" w:rsidRPr="000D0684" w:rsidRDefault="00C13E1D" w:rsidP="00C13E1D">
      <w:pPr>
        <w:spacing w:before="240" w:after="0" w:line="360" w:lineRule="auto"/>
        <w:rPr>
          <w:rFonts w:ascii="Times New Roman" w:eastAsia="Times New Roman" w:hAnsi="Times New Roman" w:cs="Times New Roman"/>
          <w:color w:val="000000"/>
          <w:kern w:val="0"/>
          <w:sz w:val="20"/>
          <w:szCs w:val="20"/>
          <w:lang w:eastAsia="en-GB"/>
          <w14:ligatures w14:val="none"/>
        </w:rPr>
      </w:pPr>
    </w:p>
    <w:p w14:paraId="145F7DD0" w14:textId="77777777" w:rsidR="00C13E1D" w:rsidRPr="000D0684" w:rsidRDefault="00C13E1D" w:rsidP="00C13E1D">
      <w:pPr>
        <w:spacing w:before="240" w:after="240" w:line="360" w:lineRule="auto"/>
        <w:rPr>
          <w:rFonts w:ascii="Times New Roman" w:eastAsia="Times New Roman" w:hAnsi="Times New Roman" w:cs="Times New Roman"/>
          <w:b/>
          <w:bCs/>
          <w:kern w:val="0"/>
          <w:sz w:val="20"/>
          <w:szCs w:val="20"/>
          <w:u w:val="single"/>
          <w:lang w:eastAsia="en-GB"/>
          <w14:ligatures w14:val="none"/>
        </w:rPr>
      </w:pPr>
      <w:r w:rsidRPr="000D0684">
        <w:rPr>
          <w:rFonts w:ascii="Times New Roman" w:eastAsia="Times New Roman" w:hAnsi="Times New Roman" w:cs="Times New Roman"/>
          <w:b/>
          <w:bCs/>
          <w:kern w:val="0"/>
          <w:sz w:val="20"/>
          <w:szCs w:val="20"/>
          <w:u w:val="single"/>
          <w:lang w:eastAsia="en-GB"/>
          <w14:ligatures w14:val="none"/>
        </w:rPr>
        <w:t>NOTEBOOK CLIFFS</w:t>
      </w:r>
    </w:p>
    <w:p w14:paraId="2E6A42F2" w14:textId="77777777" w:rsidR="00C13E1D" w:rsidRPr="000D0684" w:rsidRDefault="00C13E1D" w:rsidP="00C13E1D">
      <w:pPr>
        <w:spacing w:before="240" w:after="240" w:line="360" w:lineRule="auto"/>
        <w:rPr>
          <w:rFonts w:ascii="Times New Roman" w:eastAsia="Times New Roman" w:hAnsi="Times New Roman" w:cs="Times New Roman"/>
          <w:kern w:val="0"/>
          <w:sz w:val="20"/>
          <w:szCs w:val="20"/>
          <w:lang w:eastAsia="en-GB"/>
          <w14:ligatures w14:val="none"/>
        </w:rPr>
      </w:pPr>
      <w:r w:rsidRPr="000D0684">
        <w:rPr>
          <w:rFonts w:ascii="Times New Roman" w:eastAsia="Times New Roman" w:hAnsi="Times New Roman" w:cs="Times New Roman"/>
          <w:kern w:val="0"/>
          <w:sz w:val="20"/>
          <w:szCs w:val="20"/>
          <w:lang w:eastAsia="en-GB"/>
          <w14:ligatures w14:val="none"/>
        </w:rPr>
        <w:t xml:space="preserve">The NOT samples were recovered from a broad basaltic platform at ~ 900 m a. s. l at the top of Notebook Cliffs </w:t>
      </w:r>
      <w:r w:rsidRPr="000D0684">
        <w:rPr>
          <w:rFonts w:ascii="Times New Roman" w:eastAsia="Times New Roman" w:hAnsi="Times New Roman" w:cs="Times New Roman"/>
          <w:kern w:val="0"/>
          <w:sz w:val="20"/>
          <w:szCs w:val="20"/>
          <w:lang w:eastAsia="en-GB"/>
          <w14:ligatures w14:val="none"/>
        </w:rPr>
        <w:fldChar w:fldCharType="begin" w:fldLock="1"/>
      </w:r>
      <w:r w:rsidRPr="000D0684">
        <w:rPr>
          <w:rFonts w:ascii="Times New Roman" w:eastAsia="Times New Roman" w:hAnsi="Times New Roman" w:cs="Times New Roman"/>
          <w:kern w:val="0"/>
          <w:sz w:val="20"/>
          <w:szCs w:val="20"/>
          <w:lang w:eastAsia="en-GB"/>
          <w14:ligatures w14:val="none"/>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Antarctica","type":"article-journal","volume":"548"},"uris":["http://www.mendeley.com/documents/?uuid=3637f00b-c4e8-354b-8902-2ca54908c19b"]}],"mendeley":{"formattedCitation":"(Johnson et al., 2020)","plainTextFormattedCitation":"(Johnson et al., 2020)","previouslyFormattedCitation":"(Johnson et al., 2020)"},"properties":{"noteIndex":0},"schema":"https://github.com/citation-style-language/schema/raw/master/csl-citation.json"}</w:instrText>
      </w:r>
      <w:r w:rsidRPr="000D0684">
        <w:rPr>
          <w:rFonts w:ascii="Times New Roman" w:eastAsia="Times New Roman" w:hAnsi="Times New Roman" w:cs="Times New Roman"/>
          <w:kern w:val="0"/>
          <w:sz w:val="20"/>
          <w:szCs w:val="20"/>
          <w:lang w:eastAsia="en-GB"/>
          <w14:ligatures w14:val="none"/>
        </w:rPr>
        <w:fldChar w:fldCharType="separate"/>
      </w:r>
      <w:r w:rsidRPr="000D0684">
        <w:rPr>
          <w:rFonts w:ascii="Times New Roman" w:eastAsia="Times New Roman" w:hAnsi="Times New Roman" w:cs="Times New Roman"/>
          <w:noProof/>
          <w:kern w:val="0"/>
          <w:sz w:val="20"/>
          <w:szCs w:val="20"/>
          <w:lang w:eastAsia="en-GB"/>
          <w14:ligatures w14:val="none"/>
        </w:rPr>
        <w:t>(Johnson et al., 2020)</w:t>
      </w:r>
      <w:r w:rsidRPr="000D0684">
        <w:rPr>
          <w:rFonts w:ascii="Times New Roman" w:eastAsia="Times New Roman" w:hAnsi="Times New Roman" w:cs="Times New Roman"/>
          <w:kern w:val="0"/>
          <w:sz w:val="20"/>
          <w:szCs w:val="20"/>
          <w:lang w:eastAsia="en-GB"/>
          <w14:ligatures w14:val="none"/>
        </w:rPr>
        <w:fldChar w:fldCharType="end"/>
      </w:r>
      <w:r w:rsidRPr="000D0684">
        <w:rPr>
          <w:rFonts w:ascii="Times New Roman" w:eastAsia="Times New Roman" w:hAnsi="Times New Roman" w:cs="Times New Roman"/>
          <w:kern w:val="0"/>
          <w:sz w:val="20"/>
          <w:szCs w:val="20"/>
          <w:lang w:eastAsia="en-GB"/>
          <w14:ligatures w14:val="none"/>
        </w:rPr>
        <w:t xml:space="preserve">, the outcrop also contains evidence of hyaloclastite (see Chapter 4). Cliffs on the northern side are near vertical, but the top is relatively flat and of high elevation. Notably many fewer erratics at Notebook Cliffs than exhibited at lower elevation sites such as nearby Icefall Nunatak </w:t>
      </w:r>
      <w:r w:rsidRPr="000D0684">
        <w:rPr>
          <w:rFonts w:ascii="Times New Roman" w:eastAsia="Times New Roman" w:hAnsi="Times New Roman" w:cs="Times New Roman"/>
          <w:color w:val="000000"/>
          <w:kern w:val="0"/>
          <w:sz w:val="20"/>
          <w:szCs w:val="20"/>
          <w:lang w:eastAsia="en-GB"/>
          <w14:ligatures w14:val="none"/>
        </w:rPr>
        <w:fldChar w:fldCharType="begin" w:fldLock="1"/>
      </w:r>
      <w:r w:rsidRPr="000D0684">
        <w:rPr>
          <w:rFonts w:ascii="Times New Roman" w:eastAsia="Times New Roman" w:hAnsi="Times New Roman" w:cs="Times New Roman"/>
          <w:color w:val="000000"/>
          <w:kern w:val="0"/>
          <w:sz w:val="20"/>
          <w:szCs w:val="20"/>
          <w:lang w:eastAsia="en-GB"/>
          <w14:ligatures w14:val="none"/>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Antarctica","type":"article-journal","volume":"548"},"uris":["http://www.mendeley.com/documents/?uuid=3637f00b-c4e8-354b-8902-2ca54908c19b"]}],"mendeley":{"formattedCitation":"(Johnson et al., 2020)","plainTextFormattedCitation":"(Johnson et al., 2020)","previouslyFormattedCitation":"(Johnson et al., 2020)"},"properties":{"noteIndex":0},"schema":"https://github.com/citation-style-language/schema/raw/master/csl-citation.json"}</w:instrText>
      </w:r>
      <w:r w:rsidRPr="000D0684">
        <w:rPr>
          <w:rFonts w:ascii="Times New Roman" w:eastAsia="Times New Roman" w:hAnsi="Times New Roman" w:cs="Times New Roman"/>
          <w:color w:val="000000"/>
          <w:kern w:val="0"/>
          <w:sz w:val="20"/>
          <w:szCs w:val="20"/>
          <w:lang w:eastAsia="en-GB"/>
          <w14:ligatures w14:val="none"/>
        </w:rPr>
        <w:fldChar w:fldCharType="separate"/>
      </w:r>
      <w:r w:rsidRPr="000D0684">
        <w:rPr>
          <w:rFonts w:ascii="Times New Roman" w:eastAsia="Times New Roman" w:hAnsi="Times New Roman" w:cs="Times New Roman"/>
          <w:noProof/>
          <w:color w:val="000000"/>
          <w:kern w:val="0"/>
          <w:sz w:val="20"/>
          <w:szCs w:val="20"/>
          <w:lang w:eastAsia="en-GB"/>
          <w14:ligatures w14:val="none"/>
        </w:rPr>
        <w:t>(Johnson et al., 2020)</w:t>
      </w:r>
      <w:r w:rsidRPr="000D0684">
        <w:rPr>
          <w:rFonts w:ascii="Times New Roman" w:eastAsia="Times New Roman" w:hAnsi="Times New Roman" w:cs="Times New Roman"/>
          <w:color w:val="000000"/>
          <w:kern w:val="0"/>
          <w:sz w:val="20"/>
          <w:szCs w:val="20"/>
          <w:lang w:eastAsia="en-GB"/>
          <w14:ligatures w14:val="none"/>
        </w:rPr>
        <w:fldChar w:fldCharType="end"/>
      </w:r>
      <w:r w:rsidRPr="000D0684">
        <w:rPr>
          <w:rFonts w:ascii="Times New Roman" w:eastAsia="Times New Roman" w:hAnsi="Times New Roman" w:cs="Times New Roman"/>
          <w:kern w:val="0"/>
          <w:sz w:val="20"/>
          <w:szCs w:val="20"/>
          <w:lang w:eastAsia="en-GB"/>
          <w14:ligatures w14:val="none"/>
        </w:rPr>
        <w:t xml:space="preserve">. </w:t>
      </w:r>
    </w:p>
    <w:p w14:paraId="3D970219" w14:textId="77777777" w:rsidR="00C13E1D" w:rsidRPr="000D0684" w:rsidRDefault="00C13E1D" w:rsidP="00C13E1D">
      <w:pPr>
        <w:spacing w:before="240" w:after="240" w:line="360" w:lineRule="auto"/>
        <w:rPr>
          <w:rFonts w:ascii="Times New Roman" w:eastAsia="Times New Roman" w:hAnsi="Times New Roman" w:cs="Times New Roman"/>
          <w:b/>
          <w:bCs/>
          <w:kern w:val="0"/>
          <w:sz w:val="20"/>
          <w:szCs w:val="20"/>
          <w:lang w:eastAsia="en-GB"/>
          <w14:ligatures w14:val="none"/>
        </w:rPr>
      </w:pPr>
      <w:r w:rsidRPr="000D0684">
        <w:rPr>
          <w:rFonts w:ascii="Times New Roman" w:eastAsia="Times New Roman" w:hAnsi="Times New Roman" w:cs="Times New Roman"/>
          <w:b/>
          <w:bCs/>
          <w:kern w:val="0"/>
          <w:sz w:val="20"/>
          <w:szCs w:val="20"/>
          <w:lang w:eastAsia="en-GB"/>
          <w14:ligatures w14:val="none"/>
        </w:rPr>
        <w:t xml:space="preserve">NOT-103 (852 m a. s. l.): </w:t>
      </w:r>
      <w:r w:rsidRPr="000D0684">
        <w:rPr>
          <w:rFonts w:ascii="Times New Roman" w:eastAsia="Times New Roman" w:hAnsi="Times New Roman" w:cs="Times New Roman"/>
          <w:kern w:val="0"/>
          <w:sz w:val="20"/>
          <w:szCs w:val="20"/>
          <w:lang w:eastAsia="en-GB"/>
          <w14:ligatures w14:val="none"/>
        </w:rPr>
        <w:t xml:space="preserve">Subangular erratic of granite lithology, lithology is exotic at Notebook Cliffs which is comprised of mafic rock (basalt and hyaloclastite). Degree of weathering is minor. </w:t>
      </w:r>
    </w:p>
    <w:p w14:paraId="65385E29" w14:textId="77777777" w:rsidR="00C13E1D" w:rsidRPr="000D0684" w:rsidRDefault="00C13E1D" w:rsidP="00C13E1D">
      <w:pPr>
        <w:spacing w:before="240" w:after="240" w:line="360" w:lineRule="auto"/>
        <w:rPr>
          <w:rFonts w:ascii="Times New Roman" w:eastAsia="Times New Roman" w:hAnsi="Times New Roman" w:cs="Times New Roman"/>
          <w:kern w:val="0"/>
          <w:sz w:val="20"/>
          <w:szCs w:val="20"/>
          <w:lang w:eastAsia="en-GB"/>
          <w14:ligatures w14:val="none"/>
        </w:rPr>
      </w:pPr>
      <w:r w:rsidRPr="000D0684">
        <w:rPr>
          <w:rFonts w:ascii="Times New Roman" w:eastAsia="Times New Roman" w:hAnsi="Times New Roman" w:cs="Times New Roman"/>
          <w:b/>
          <w:bCs/>
          <w:kern w:val="0"/>
          <w:sz w:val="20"/>
          <w:szCs w:val="20"/>
          <w:lang w:eastAsia="en-GB"/>
          <w14:ligatures w14:val="none"/>
        </w:rPr>
        <w:t xml:space="preserve">NOT-104 (893 m a. s. l.): </w:t>
      </w:r>
      <w:r w:rsidRPr="000D0684">
        <w:rPr>
          <w:rFonts w:ascii="Times New Roman" w:eastAsia="Times New Roman" w:hAnsi="Times New Roman" w:cs="Times New Roman"/>
          <w:kern w:val="0"/>
          <w:sz w:val="20"/>
          <w:szCs w:val="20"/>
          <w:lang w:eastAsia="en-GB"/>
          <w14:ligatures w14:val="none"/>
        </w:rPr>
        <w:t xml:space="preserve">Subangular erratic of granite lithology, Notebook Cliffs is comprised of mafic rock (basalt and hyaloclastite), so lithology is exotic. Sample is moderately weathered with evidence of slight pitting on its surface. </w:t>
      </w:r>
    </w:p>
    <w:p w14:paraId="3E812602" w14:textId="77777777" w:rsidR="00C13E1D" w:rsidRPr="000D0684" w:rsidRDefault="00C13E1D" w:rsidP="00C13E1D">
      <w:pPr>
        <w:spacing w:before="240" w:after="240" w:line="360" w:lineRule="auto"/>
        <w:rPr>
          <w:rFonts w:ascii="Times New Roman" w:eastAsia="Times New Roman" w:hAnsi="Times New Roman" w:cs="Times New Roman"/>
          <w:kern w:val="0"/>
          <w:sz w:val="20"/>
          <w:szCs w:val="20"/>
          <w:lang w:eastAsia="en-GB"/>
          <w14:ligatures w14:val="none"/>
        </w:rPr>
      </w:pPr>
      <w:r w:rsidRPr="000D0684">
        <w:rPr>
          <w:rFonts w:ascii="Times New Roman" w:eastAsia="Times New Roman" w:hAnsi="Times New Roman" w:cs="Times New Roman"/>
          <w:kern w:val="0"/>
          <w:sz w:val="20"/>
          <w:szCs w:val="20"/>
          <w:lang w:eastAsia="en-GB"/>
          <w14:ligatures w14:val="none"/>
        </w:rPr>
        <w:t xml:space="preserve"> </w:t>
      </w:r>
      <w:r w:rsidRPr="000D0684">
        <w:rPr>
          <w:rFonts w:ascii="Times New Roman" w:eastAsia="Times New Roman" w:hAnsi="Times New Roman" w:cs="Times New Roman"/>
          <w:b/>
          <w:bCs/>
          <w:kern w:val="0"/>
          <w:sz w:val="20"/>
          <w:szCs w:val="20"/>
          <w:lang w:eastAsia="en-GB"/>
          <w14:ligatures w14:val="none"/>
        </w:rPr>
        <w:t xml:space="preserve">NOT-107 (885 m a. s. l.): </w:t>
      </w:r>
      <w:r w:rsidRPr="000D0684">
        <w:rPr>
          <w:rFonts w:ascii="Times New Roman" w:eastAsia="Times New Roman" w:hAnsi="Times New Roman" w:cs="Times New Roman"/>
          <w:kern w:val="0"/>
          <w:sz w:val="20"/>
          <w:szCs w:val="20"/>
          <w:lang w:eastAsia="en-GB"/>
          <w14:ligatures w14:val="none"/>
        </w:rPr>
        <w:t xml:space="preserve">Subangular erratic of granite lithology, Notebook Cliffs is comprised of mafic rock (basalt and hyaloclastite), so lithology is exotic. Degree of weathering is minor. </w:t>
      </w:r>
    </w:p>
    <w:p w14:paraId="7B9BEFC4" w14:textId="77777777" w:rsidR="00C13E1D" w:rsidRDefault="00C13E1D" w:rsidP="002179EB">
      <w:pPr>
        <w:spacing w:before="240" w:after="0" w:line="360" w:lineRule="auto"/>
        <w:rPr>
          <w:rFonts w:ascii="Times New Roman" w:eastAsia="Times New Roman" w:hAnsi="Times New Roman" w:cs="Times New Roman"/>
          <w:b/>
          <w:bCs/>
          <w:kern w:val="0"/>
          <w:lang w:eastAsia="en-GB"/>
          <w14:ligatures w14:val="none"/>
        </w:rPr>
      </w:pPr>
      <w:r>
        <w:rPr>
          <w:rFonts w:ascii="Times New Roman" w:eastAsia="Times New Roman" w:hAnsi="Times New Roman" w:cs="Times New Roman"/>
          <w:b/>
          <w:bCs/>
          <w:noProof/>
          <w:kern w:val="0"/>
          <w:lang w:eastAsia="en-GB"/>
        </w:rPr>
        <w:lastRenderedPageBreak/>
        <w:drawing>
          <wp:inline distT="0" distB="0" distL="0" distR="0" wp14:anchorId="639AC314" wp14:editId="52F2FB43">
            <wp:extent cx="4710077" cy="2447925"/>
            <wp:effectExtent l="0" t="0" r="0" b="0"/>
            <wp:docPr id="1406189455" name="Picture 4"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189455" name="Picture 4" descr="A map of a mountain rang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4270" cy="2476090"/>
                    </a:xfrm>
                    <a:prstGeom prst="rect">
                      <a:avLst/>
                    </a:prstGeom>
                  </pic:spPr>
                </pic:pic>
              </a:graphicData>
            </a:graphic>
          </wp:inline>
        </w:drawing>
      </w:r>
    </w:p>
    <w:p w14:paraId="426B26DE" w14:textId="621F0DDE" w:rsidR="00C13E1D" w:rsidRDefault="00C13E1D" w:rsidP="002179EB">
      <w:pPr>
        <w:spacing w:after="240" w:line="360" w:lineRule="auto"/>
        <w:rPr>
          <w:rFonts w:ascii="Times New Roman" w:eastAsia="Times New Roman" w:hAnsi="Times New Roman" w:cs="Times New Roman"/>
          <w:color w:val="000000"/>
          <w:kern w:val="0"/>
          <w:sz w:val="20"/>
          <w:szCs w:val="20"/>
          <w:lang w:eastAsia="en-GB"/>
          <w14:ligatures w14:val="none"/>
        </w:rPr>
      </w:pPr>
      <w:r w:rsidRPr="002E6246">
        <w:rPr>
          <w:rFonts w:ascii="Times New Roman" w:eastAsia="Times New Roman" w:hAnsi="Times New Roman" w:cs="Times New Roman"/>
          <w:b/>
          <w:bCs/>
          <w:kern w:val="0"/>
          <w:sz w:val="20"/>
          <w:szCs w:val="20"/>
          <w:lang w:eastAsia="en-GB"/>
          <w14:ligatures w14:val="none"/>
        </w:rPr>
        <w:t>Figure S5:</w:t>
      </w:r>
      <w:r w:rsidRPr="002E6246">
        <w:rPr>
          <w:rFonts w:ascii="Times New Roman" w:eastAsia="Times New Roman" w:hAnsi="Times New Roman" w:cs="Times New Roman"/>
          <w:kern w:val="0"/>
          <w:sz w:val="20"/>
          <w:szCs w:val="20"/>
          <w:lang w:eastAsia="en-GB"/>
          <w14:ligatures w14:val="none"/>
        </w:rPr>
        <w:t xml:space="preserve"> </w:t>
      </w:r>
      <w:r w:rsidRPr="00964C24">
        <w:rPr>
          <w:rFonts w:ascii="Times New Roman" w:eastAsia="Times New Roman" w:hAnsi="Times New Roman" w:cs="Times New Roman"/>
          <w:color w:val="000000"/>
          <w:kern w:val="0"/>
          <w:sz w:val="20"/>
          <w:szCs w:val="20"/>
          <w:lang w:eastAsia="en-GB"/>
          <w14:ligatures w14:val="none"/>
        </w:rPr>
        <w:t xml:space="preserve">Locations of samples NOT-103, NOT-104 and NOT-107 at Notebook Cliffs. </w:t>
      </w:r>
      <w:r w:rsidR="003E40D7">
        <w:rPr>
          <w:rFonts w:ascii="Times New Roman" w:eastAsia="Times New Roman" w:hAnsi="Times New Roman" w:cs="Times New Roman"/>
          <w:color w:val="000000"/>
          <w:kern w:val="0"/>
          <w:sz w:val="20"/>
          <w:szCs w:val="20"/>
          <w:lang w:eastAsia="en-GB"/>
          <w14:ligatures w14:val="none"/>
        </w:rPr>
        <w:t>Satellite</w:t>
      </w:r>
      <w:r w:rsidR="003E40D7" w:rsidRPr="003E40D7">
        <w:rPr>
          <w:rFonts w:ascii="Times New Roman" w:eastAsia="Times New Roman" w:hAnsi="Times New Roman" w:cs="Times New Roman"/>
          <w:color w:val="000000"/>
          <w:kern w:val="0"/>
          <w:sz w:val="20"/>
          <w:szCs w:val="20"/>
          <w:lang w:eastAsia="en-GB"/>
          <w14:ligatures w14:val="none"/>
        </w:rPr>
        <w:t xml:space="preserve"> imagery from DigitalGlobe products, © WorldView-</w:t>
      </w:r>
      <w:r w:rsidR="003E40D7">
        <w:rPr>
          <w:rFonts w:ascii="Times New Roman" w:eastAsia="Times New Roman" w:hAnsi="Times New Roman" w:cs="Times New Roman"/>
          <w:color w:val="000000"/>
          <w:kern w:val="0"/>
          <w:sz w:val="20"/>
          <w:szCs w:val="20"/>
          <w:lang w:eastAsia="en-GB"/>
          <w14:ligatures w14:val="none"/>
        </w:rPr>
        <w:t>2</w:t>
      </w:r>
      <w:r w:rsidR="003E40D7" w:rsidRPr="003E40D7">
        <w:rPr>
          <w:rFonts w:ascii="Times New Roman" w:eastAsia="Times New Roman" w:hAnsi="Times New Roman" w:cs="Times New Roman"/>
          <w:color w:val="000000"/>
          <w:kern w:val="0"/>
          <w:sz w:val="20"/>
          <w:szCs w:val="20"/>
          <w:lang w:eastAsia="en-GB"/>
          <w14:ligatures w14:val="none"/>
        </w:rPr>
        <w:t xml:space="preserve"> DigitalGlobe, Inc., a Maxar company.</w:t>
      </w:r>
    </w:p>
    <w:p w14:paraId="1AB243F5" w14:textId="77777777" w:rsidR="00332F59" w:rsidRPr="002179EB" w:rsidRDefault="00332F59" w:rsidP="002179EB">
      <w:pPr>
        <w:spacing w:after="240" w:line="360" w:lineRule="auto"/>
        <w:rPr>
          <w:rFonts w:ascii="Times New Roman" w:eastAsia="Times New Roman" w:hAnsi="Times New Roman" w:cs="Times New Roman"/>
          <w:b/>
          <w:bCs/>
          <w:kern w:val="0"/>
          <w:lang w:eastAsia="en-GB"/>
          <w14:ligatures w14:val="none"/>
        </w:rPr>
      </w:pPr>
    </w:p>
    <w:p w14:paraId="23BEFD33" w14:textId="77777777" w:rsidR="00C13E1D" w:rsidRDefault="00C13E1D" w:rsidP="002C4664">
      <w:pPr>
        <w:spacing w:before="240" w:after="240" w:line="276" w:lineRule="auto"/>
        <w:rPr>
          <w:rFonts w:ascii="Arial" w:hAnsi="Arial" w:cs="Arial"/>
          <w:b/>
          <w:bCs/>
          <w:color w:val="000000"/>
        </w:rPr>
      </w:pPr>
      <w:r>
        <w:rPr>
          <w:rFonts w:ascii="Arial" w:hAnsi="Arial" w:cs="Arial"/>
          <w:noProof/>
          <w:color w:val="000000"/>
          <w:bdr w:val="none" w:sz="0" w:space="0" w:color="auto" w:frame="1"/>
        </w:rPr>
        <w:drawing>
          <wp:inline distT="0" distB="0" distL="0" distR="0" wp14:anchorId="41B8BCFC" wp14:editId="5F465C34">
            <wp:extent cx="5665245" cy="4343400"/>
            <wp:effectExtent l="0" t="0" r="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2009" cy="4425253"/>
                    </a:xfrm>
                    <a:prstGeom prst="rect">
                      <a:avLst/>
                    </a:prstGeom>
                    <a:noFill/>
                    <a:ln>
                      <a:noFill/>
                    </a:ln>
                  </pic:spPr>
                </pic:pic>
              </a:graphicData>
            </a:graphic>
          </wp:inline>
        </w:drawing>
      </w:r>
    </w:p>
    <w:p w14:paraId="4CEDC1A3" w14:textId="6BC6106E" w:rsidR="00C13E1D" w:rsidRPr="002179EB" w:rsidRDefault="00C13E1D" w:rsidP="00C13E1D">
      <w:pPr>
        <w:spacing w:before="240" w:after="240" w:line="240" w:lineRule="auto"/>
        <w:rPr>
          <w:rFonts w:ascii="Times New Roman" w:eastAsia="Times New Roman" w:hAnsi="Times New Roman" w:cs="Times New Roman"/>
          <w:kern w:val="0"/>
          <w:sz w:val="20"/>
          <w:szCs w:val="20"/>
          <w:lang w:eastAsia="en-GB"/>
          <w14:ligatures w14:val="none"/>
        </w:rPr>
      </w:pPr>
      <w:r w:rsidRPr="002E6246">
        <w:rPr>
          <w:rFonts w:ascii="Times New Roman" w:hAnsi="Times New Roman" w:cs="Times New Roman"/>
          <w:b/>
          <w:bCs/>
          <w:sz w:val="20"/>
          <w:szCs w:val="20"/>
        </w:rPr>
        <w:t>Figure S</w:t>
      </w:r>
      <w:r>
        <w:rPr>
          <w:rFonts w:ascii="Times New Roman" w:hAnsi="Times New Roman" w:cs="Times New Roman"/>
          <w:b/>
          <w:bCs/>
          <w:sz w:val="20"/>
          <w:szCs w:val="20"/>
        </w:rPr>
        <w:t>6</w:t>
      </w:r>
      <w:r w:rsidRPr="002E6246">
        <w:rPr>
          <w:rFonts w:ascii="Times New Roman" w:hAnsi="Times New Roman" w:cs="Times New Roman"/>
          <w:b/>
          <w:bCs/>
          <w:sz w:val="20"/>
          <w:szCs w:val="20"/>
        </w:rPr>
        <w:t xml:space="preserve"> </w:t>
      </w:r>
      <w:r w:rsidRPr="00251984">
        <w:rPr>
          <w:rFonts w:ascii="Times New Roman" w:hAnsi="Times New Roman" w:cs="Times New Roman"/>
          <w:color w:val="000000"/>
          <w:sz w:val="20"/>
          <w:szCs w:val="20"/>
        </w:rPr>
        <w:t>(</w:t>
      </w:r>
      <w:r>
        <w:rPr>
          <w:rFonts w:ascii="Times New Roman" w:hAnsi="Times New Roman" w:cs="Times New Roman"/>
          <w:b/>
          <w:bCs/>
          <w:color w:val="000000"/>
          <w:sz w:val="20"/>
          <w:szCs w:val="20"/>
        </w:rPr>
        <w:t>P</w:t>
      </w:r>
      <w:r w:rsidRPr="00AC5814">
        <w:rPr>
          <w:rFonts w:ascii="Times New Roman" w:hAnsi="Times New Roman" w:cs="Times New Roman"/>
          <w:b/>
          <w:bCs/>
          <w:color w:val="000000"/>
          <w:sz w:val="20"/>
          <w:szCs w:val="20"/>
        </w:rPr>
        <w:t>anel a</w:t>
      </w:r>
      <w:r w:rsidRPr="00251984">
        <w:rPr>
          <w:rFonts w:ascii="Times New Roman" w:hAnsi="Times New Roman" w:cs="Times New Roman"/>
          <w:color w:val="000000"/>
          <w:sz w:val="20"/>
          <w:szCs w:val="20"/>
        </w:rPr>
        <w:t xml:space="preserve">) Map from provenance study compiling lithology of major outcrops of exposed rock, blue dotted lines represent present ice divides, dashes black line represents shelf edge, </w:t>
      </w:r>
      <w:r w:rsidR="00662872">
        <w:rPr>
          <w:rFonts w:ascii="Times New Roman" w:hAnsi="Times New Roman" w:cs="Times New Roman"/>
          <w:color w:val="000000"/>
          <w:sz w:val="20"/>
          <w:szCs w:val="20"/>
        </w:rPr>
        <w:t xml:space="preserve">taken </w:t>
      </w:r>
      <w:r w:rsidRPr="00251984">
        <w:rPr>
          <w:rFonts w:ascii="Times New Roman" w:hAnsi="Times New Roman" w:cs="Times New Roman"/>
          <w:color w:val="000000"/>
          <w:sz w:val="20"/>
          <w:szCs w:val="20"/>
        </w:rPr>
        <w:t xml:space="preserve">from </w:t>
      </w:r>
      <w:r w:rsidRPr="00251984">
        <w:rPr>
          <w:rFonts w:ascii="Times New Roman" w:hAnsi="Times New Roman" w:cs="Times New Roman"/>
          <w:color w:val="000000"/>
          <w:sz w:val="20"/>
          <w:szCs w:val="20"/>
        </w:rPr>
        <w:fldChar w:fldCharType="begin" w:fldLock="1"/>
      </w:r>
      <w:r w:rsidRPr="00251984">
        <w:rPr>
          <w:rFonts w:ascii="Times New Roman" w:hAnsi="Times New Roman" w:cs="Times New Roman"/>
          <w:color w:val="000000"/>
          <w:sz w:val="20"/>
          <w:szCs w:val="20"/>
        </w:rPr>
        <w:instrText>ADDIN CSL_CITATION {"citationItems":[{"id":"ITEM-1","itemData":{"DOI":"10.1016/j.earscirev.2018.04.011","ISSN":"00128252","abstract":"Geochemical provenance studies of glacial-marine sediments provide a powerful approach to describe subglacial geology, sediment transport pathways, and past ice sheet dynamics. The marine-based West Antarctic Ice Sheet (WAIS) is considered highly vulnerable to ocean warming and sea level rise that is likely to cause its rapid and irreversible retreat. Studies of its past response to climate change are hence essential for projecting its future behaviour. The application of radiogenic and trace element provenance studies for past ice sheet reconstructions requires surveying the geographic variability of geochemical compositions of glaciomarine sediments. In this study, we characterize the provenance of the detrital fraction of 67 Late Holocene marine sediment samples collected off the Pacific margin of West Antarctica (60°W to 160°W), including 40 Ar/ 39 Ar ages of individual hornblende and biotite grains (&gt;150 μm), as well as Sr and Nd isotope and trace element composition of the fine-grained (&lt;63 μm) sediment fraction. Overall, this approach allows differentiating West Antarctica into five source regions: the Antarctic Peninsula, Bellingshausen Sea, Amundsen Sea, Wrigley Gulf-Hobbs Coast and Sulzberger Bay. Minor geochemical variability is found within each individual sector due to local variability in onland geology. 40 Ar/ 39 Ar ages of iceberg-rafted hornblende and biotite grains record primarily Carboniferous to Lates Quaternary ages (~0 to 380 Ma), with a notable age peak of ~100 Ma, associated with plutonic intrusions or deformation events during the mid-Cretaceous. Permian-Jurassic 40 Ar/ 39 Ar ages are widespread in the Amundsen Sea sector, marking episodes of large-volume magmatism along the long-lived continental margin. Metasedimentary rocks and Late Cenozoic alkali basalts in West Antarctica cannot be detected using detrital hornblende and biotite 40 Ar/ 39 Ar ages due to the absence or small grain-size (i.e. &lt;150 μm) of these minerals in such rocks. These sources can however be readily recognized by their fine-grained geochemical composition. In addition, geographic trends in the provenance from proximal to distal sites provide insights into major sediment transport pathways. While the transport of fine-grained detritus follows bathymetric cross-shelf troughs, the distribution of iceberg-rafted grains shows influence by transport in the Antarctic Coastal Current. Our study provides the first systematic geochemical characterisation of sedime…","author":[{"dropping-particle":"","family":"Simões Pereira","given":"Patric","non-dropping-particle":"","parse-names":false,"suffix":""},{"dropping-particle":"","family":"Flierdt","given":"Tina","non-dropping-particle":"van de","parse-names":false,"suffix":""},{"dropping-particle":"","family":"Hemming","given":"Sidney R.","non-dropping-particle":"","parse-names":false,"suffix":""},{"dropping-particle":"","family":"Hammond","given":"Samantha J.","non-dropping-particle":"","parse-names":false,"suffix":""},{"dropping-particle":"","family":"Kuhn","given":"Gerhard","non-dropping-particle":"","parse-names":false,"suffix":""},{"dropping-particle":"","family":"Brachfeld","given":"Stefanie","non-dropping-particle":"","parse-names":false,"suffix":""},{"dropping-particle":"","family":"Doherty","given":"Cathleen","non-dropping-particle":"","parse-names":false,"suffix":""},{"dropping-particle":"","family":"Hillenbrand","given":"Claus Dieter","non-dropping-particle":"","parse-names":false,"suffix":""}],"container-title":"Earth-Science Reviews","id":"ITEM-1","issued":{"date-parts":[["2018","7","1"]]},"page":"204-232","publisher":"Elsevier B.V.","title":"Geochemical fingerprints of glacially eroded bedrock from West Antarctica: Detrital thermochronology, radiogenic isotope systematics and trace element geochemistry in Late Holocene glacial-marine sediments","type":"article","volume":"182"},"uris":["http://www.mendeley.com/documents/?uuid=dbac5256-8393-31f9-9c24-797070f0314e"]}],"mendeley":{"formattedCitation":"(Simões Pereira et al., 2018)","manualFormatting":"Simões Pereira et al., (2018)","plainTextFormattedCitation":"(Simões Pereira et al., 2018)","previouslyFormattedCitation":"(Simões Pereira et al., 2018)"},"properties":{"noteIndex":0},"schema":"https://github.com/citation-style-language/schema/raw/master/csl-citation.json"}</w:instrText>
      </w:r>
      <w:r w:rsidRPr="00251984">
        <w:rPr>
          <w:rFonts w:ascii="Times New Roman" w:hAnsi="Times New Roman" w:cs="Times New Roman"/>
          <w:color w:val="000000"/>
          <w:sz w:val="20"/>
          <w:szCs w:val="20"/>
        </w:rPr>
        <w:fldChar w:fldCharType="separate"/>
      </w:r>
      <w:r w:rsidRPr="00251984">
        <w:rPr>
          <w:rFonts w:ascii="Times New Roman" w:hAnsi="Times New Roman" w:cs="Times New Roman"/>
          <w:noProof/>
          <w:color w:val="000000"/>
          <w:sz w:val="20"/>
          <w:szCs w:val="20"/>
        </w:rPr>
        <w:t>Simões Pereira et al., (2018)</w:t>
      </w:r>
      <w:r w:rsidRPr="00251984">
        <w:rPr>
          <w:rFonts w:ascii="Times New Roman" w:hAnsi="Times New Roman" w:cs="Times New Roman"/>
          <w:color w:val="000000"/>
          <w:sz w:val="20"/>
          <w:szCs w:val="20"/>
        </w:rPr>
        <w:fldChar w:fldCharType="end"/>
      </w:r>
      <w:r w:rsidRPr="00251984">
        <w:rPr>
          <w:rFonts w:ascii="Times New Roman" w:hAnsi="Times New Roman" w:cs="Times New Roman"/>
          <w:color w:val="000000"/>
          <w:sz w:val="20"/>
          <w:szCs w:val="20"/>
        </w:rPr>
        <w:t xml:space="preserve"> (</w:t>
      </w:r>
      <w:r w:rsidRPr="00AC5814">
        <w:rPr>
          <w:rFonts w:ascii="Times New Roman" w:hAnsi="Times New Roman" w:cs="Times New Roman"/>
          <w:b/>
          <w:bCs/>
          <w:color w:val="000000"/>
          <w:sz w:val="20"/>
          <w:szCs w:val="20"/>
        </w:rPr>
        <w:t xml:space="preserve">Panel </w:t>
      </w:r>
      <w:r w:rsidRPr="00251984">
        <w:rPr>
          <w:rFonts w:ascii="Times New Roman" w:hAnsi="Times New Roman" w:cs="Times New Roman"/>
          <w:b/>
          <w:bCs/>
          <w:color w:val="000000"/>
          <w:sz w:val="20"/>
          <w:szCs w:val="20"/>
        </w:rPr>
        <w:t>b</w:t>
      </w:r>
      <w:r w:rsidRPr="00251984">
        <w:rPr>
          <w:rFonts w:ascii="Times New Roman" w:hAnsi="Times New Roman" w:cs="Times New Roman"/>
          <w:color w:val="000000"/>
          <w:sz w:val="20"/>
          <w:szCs w:val="20"/>
        </w:rPr>
        <w:t xml:space="preserve">) Polar rock repository database search of areas of exposed rock upstream of </w:t>
      </w:r>
      <w:r>
        <w:rPr>
          <w:rFonts w:ascii="Times New Roman" w:hAnsi="Times New Roman" w:cs="Times New Roman"/>
          <w:color w:val="000000"/>
          <w:sz w:val="20"/>
          <w:szCs w:val="20"/>
        </w:rPr>
        <w:t>Mt Murphy</w:t>
      </w:r>
      <w:r w:rsidRPr="00251984">
        <w:rPr>
          <w:rFonts w:ascii="Times New Roman" w:hAnsi="Times New Roman" w:cs="Times New Roman"/>
          <w:color w:val="000000"/>
          <w:sz w:val="20"/>
          <w:szCs w:val="20"/>
        </w:rPr>
        <w:t xml:space="preserve"> as well as in the wider area of the Amundsen Sea Embayment and Marie Byrd Land. </w:t>
      </w:r>
      <w:r w:rsidR="00662872">
        <w:rPr>
          <w:rFonts w:ascii="Times New Roman" w:hAnsi="Times New Roman" w:cs="Times New Roman"/>
          <w:color w:val="000000"/>
          <w:sz w:val="20"/>
          <w:szCs w:val="20"/>
        </w:rPr>
        <w:t xml:space="preserve">Map layer taken from and rock sample data points courtesy of the Polar Rock Repository Database </w:t>
      </w:r>
      <w:hyperlink r:id="rId12" w:history="1">
        <w:r w:rsidR="00662872" w:rsidRPr="00442E2D">
          <w:rPr>
            <w:rStyle w:val="Hyperlink"/>
            <w:rFonts w:ascii="Times New Roman" w:hAnsi="Times New Roman" w:cs="Times New Roman"/>
            <w:sz w:val="20"/>
            <w:szCs w:val="20"/>
          </w:rPr>
          <w:t>https://prr.osu.edu/</w:t>
        </w:r>
      </w:hyperlink>
      <w:r w:rsidR="00662872">
        <w:rPr>
          <w:rFonts w:ascii="Times New Roman" w:hAnsi="Times New Roman" w:cs="Times New Roman"/>
          <w:color w:val="000000"/>
          <w:sz w:val="20"/>
          <w:szCs w:val="20"/>
        </w:rPr>
        <w:t xml:space="preserve"> [Accessed 22.04.24] </w:t>
      </w:r>
      <w:r w:rsidRPr="002179EB">
        <w:rPr>
          <w:rFonts w:ascii="Times New Roman" w:eastAsia="Times New Roman" w:hAnsi="Times New Roman" w:cs="Times New Roman"/>
          <w:b/>
          <w:bCs/>
          <w:kern w:val="0"/>
          <w:sz w:val="20"/>
          <w:szCs w:val="20"/>
          <w:lang w:eastAsia="en-GB"/>
          <w14:ligatures w14:val="none"/>
        </w:rPr>
        <w:lastRenderedPageBreak/>
        <w:t>Figure S7:</w:t>
      </w:r>
      <w:r w:rsidRPr="002179EB">
        <w:rPr>
          <w:rFonts w:ascii="Times New Roman" w:eastAsia="Times New Roman" w:hAnsi="Times New Roman" w:cs="Times New Roman"/>
          <w:kern w:val="0"/>
          <w:sz w:val="20"/>
          <w:szCs w:val="20"/>
          <w:lang w:eastAsia="en-GB"/>
          <w14:ligatures w14:val="none"/>
        </w:rPr>
        <w:t xml:space="preserve"> Photos of samples analysed for both </w:t>
      </w:r>
      <w:r w:rsidRPr="002179EB">
        <w:rPr>
          <w:rFonts w:ascii="Times New Roman" w:eastAsia="Times New Roman" w:hAnsi="Times New Roman" w:cs="Times New Roman"/>
          <w:kern w:val="0"/>
          <w:sz w:val="20"/>
          <w:szCs w:val="20"/>
          <w:vertAlign w:val="superscript"/>
          <w:lang w:eastAsia="en-GB"/>
          <w14:ligatures w14:val="none"/>
        </w:rPr>
        <w:t>10</w:t>
      </w:r>
      <w:r w:rsidRPr="002179EB">
        <w:rPr>
          <w:rFonts w:ascii="Times New Roman" w:eastAsia="Times New Roman" w:hAnsi="Times New Roman" w:cs="Times New Roman"/>
          <w:kern w:val="0"/>
          <w:sz w:val="20"/>
          <w:szCs w:val="20"/>
          <w:lang w:eastAsia="en-GB"/>
          <w14:ligatures w14:val="none"/>
        </w:rPr>
        <w:t xml:space="preserve">Be and in situ </w:t>
      </w:r>
      <w:r w:rsidRPr="002179EB">
        <w:rPr>
          <w:rFonts w:ascii="Times New Roman" w:eastAsia="Times New Roman" w:hAnsi="Times New Roman" w:cs="Times New Roman"/>
          <w:kern w:val="0"/>
          <w:sz w:val="20"/>
          <w:szCs w:val="20"/>
          <w:vertAlign w:val="superscript"/>
          <w:lang w:eastAsia="en-GB"/>
          <w14:ligatures w14:val="none"/>
        </w:rPr>
        <w:t>14</w:t>
      </w:r>
      <w:r w:rsidRPr="002179EB">
        <w:rPr>
          <w:rFonts w:ascii="Times New Roman" w:eastAsia="Times New Roman" w:hAnsi="Times New Roman" w:cs="Times New Roman"/>
          <w:kern w:val="0"/>
          <w:sz w:val="20"/>
          <w:szCs w:val="20"/>
          <w:lang w:eastAsia="en-GB"/>
          <w14:ligatures w14:val="none"/>
        </w:rPr>
        <w:t>C in this study. Exposure ages with 1</w:t>
      </w:r>
      <w:r w:rsidRPr="002179EB">
        <w:rPr>
          <w:rFonts w:ascii="Calibri" w:eastAsia="Times New Roman" w:hAnsi="Calibri" w:cs="Calibri"/>
          <w:kern w:val="0"/>
          <w:sz w:val="20"/>
          <w:szCs w:val="20"/>
          <w:lang w:eastAsia="en-GB"/>
          <w14:ligatures w14:val="none"/>
        </w:rPr>
        <w:t>σ</w:t>
      </w:r>
      <w:r w:rsidRPr="002179EB">
        <w:rPr>
          <w:rFonts w:ascii="Times New Roman" w:eastAsia="Times New Roman" w:hAnsi="Times New Roman" w:cs="Times New Roman"/>
          <w:kern w:val="0"/>
          <w:sz w:val="20"/>
          <w:szCs w:val="20"/>
          <w:lang w:eastAsia="en-GB"/>
          <w14:ligatures w14:val="none"/>
        </w:rPr>
        <w:t xml:space="preserve"> external uncertainties for </w:t>
      </w:r>
      <w:r w:rsidRPr="00161253">
        <w:rPr>
          <w:rFonts w:ascii="Times New Roman" w:eastAsia="Times New Roman" w:hAnsi="Times New Roman" w:cs="Times New Roman"/>
          <w:kern w:val="0"/>
          <w:sz w:val="20"/>
          <w:szCs w:val="20"/>
          <w:vertAlign w:val="superscript"/>
          <w:lang w:eastAsia="en-GB"/>
          <w14:ligatures w14:val="none"/>
        </w:rPr>
        <w:t>10</w:t>
      </w:r>
      <w:r w:rsidRPr="002179EB">
        <w:rPr>
          <w:rFonts w:ascii="Times New Roman" w:eastAsia="Times New Roman" w:hAnsi="Times New Roman" w:cs="Times New Roman"/>
          <w:kern w:val="0"/>
          <w:sz w:val="20"/>
          <w:szCs w:val="20"/>
          <w:lang w:eastAsia="en-GB"/>
          <w14:ligatures w14:val="none"/>
        </w:rPr>
        <w:t xml:space="preserve">Be, in situ </w:t>
      </w:r>
      <w:r w:rsidRPr="002179EB">
        <w:rPr>
          <w:rFonts w:ascii="Times New Roman" w:eastAsia="Times New Roman" w:hAnsi="Times New Roman" w:cs="Times New Roman"/>
          <w:kern w:val="0"/>
          <w:sz w:val="20"/>
          <w:szCs w:val="20"/>
          <w:vertAlign w:val="superscript"/>
          <w:lang w:eastAsia="en-GB"/>
          <w14:ligatures w14:val="none"/>
        </w:rPr>
        <w:t>14</w:t>
      </w:r>
      <w:r w:rsidRPr="002179EB">
        <w:rPr>
          <w:rFonts w:ascii="Times New Roman" w:eastAsia="Times New Roman" w:hAnsi="Times New Roman" w:cs="Times New Roman"/>
          <w:kern w:val="0"/>
          <w:sz w:val="20"/>
          <w:szCs w:val="20"/>
          <w:lang w:eastAsia="en-GB"/>
          <w14:ligatures w14:val="none"/>
        </w:rPr>
        <w:t xml:space="preserve">C and in situ </w:t>
      </w:r>
      <w:r w:rsidRPr="002179EB">
        <w:rPr>
          <w:rFonts w:ascii="Times New Roman" w:eastAsia="Times New Roman" w:hAnsi="Times New Roman" w:cs="Times New Roman"/>
          <w:kern w:val="0"/>
          <w:sz w:val="20"/>
          <w:szCs w:val="20"/>
          <w:vertAlign w:val="superscript"/>
          <w:lang w:eastAsia="en-GB"/>
          <w14:ligatures w14:val="none"/>
        </w:rPr>
        <w:t>14</w:t>
      </w:r>
      <w:r w:rsidRPr="002179EB">
        <w:rPr>
          <w:rFonts w:ascii="Times New Roman" w:eastAsia="Times New Roman" w:hAnsi="Times New Roman" w:cs="Times New Roman"/>
          <w:kern w:val="0"/>
          <w:sz w:val="20"/>
          <w:szCs w:val="20"/>
          <w:lang w:eastAsia="en-GB"/>
          <w14:ligatures w14:val="none"/>
        </w:rPr>
        <w:t>C replicate measurements are shown below each image</w:t>
      </w:r>
      <w:r w:rsidR="00161253">
        <w:rPr>
          <w:rFonts w:ascii="Times New Roman" w:eastAsia="Times New Roman" w:hAnsi="Times New Roman" w:cs="Times New Roman"/>
          <w:kern w:val="0"/>
          <w:sz w:val="20"/>
          <w:szCs w:val="20"/>
          <w:lang w:eastAsia="en-GB"/>
          <w14:ligatures w14:val="none"/>
        </w:rPr>
        <w:t>.</w:t>
      </w:r>
    </w:p>
    <w:p w14:paraId="78F029B3" w14:textId="77777777" w:rsidR="008E5B13" w:rsidRDefault="00835E55" w:rsidP="002179EB">
      <w:pPr>
        <w:spacing w:after="240" w:line="240" w:lineRule="auto"/>
        <w:jc w:val="center"/>
        <w:rPr>
          <w:rFonts w:ascii="Times New Roman" w:eastAsiaTheme="majorEastAsia" w:hAnsi="Times New Roman" w:cs="Times New Roman"/>
          <w:color w:val="0F4761" w:themeColor="accent1" w:themeShade="BF"/>
          <w:sz w:val="28"/>
          <w:szCs w:val="28"/>
        </w:rPr>
      </w:pPr>
      <w:bookmarkStart w:id="0" w:name="_Toc162188160"/>
      <w:r>
        <w:rPr>
          <w:rFonts w:ascii="Times New Roman" w:eastAsiaTheme="majorEastAsia" w:hAnsi="Times New Roman" w:cs="Times New Roman"/>
          <w:noProof/>
          <w:color w:val="0F4761" w:themeColor="accent1" w:themeShade="BF"/>
          <w:sz w:val="28"/>
          <w:szCs w:val="28"/>
        </w:rPr>
        <w:drawing>
          <wp:inline distT="0" distB="0" distL="0" distR="0" wp14:anchorId="2683423C" wp14:editId="4B1DC68F">
            <wp:extent cx="5934547" cy="7455990"/>
            <wp:effectExtent l="0" t="0" r="9525" b="0"/>
            <wp:docPr id="920364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364777" name="Picture 920364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4199" cy="7468116"/>
                    </a:xfrm>
                    <a:prstGeom prst="rect">
                      <a:avLst/>
                    </a:prstGeom>
                  </pic:spPr>
                </pic:pic>
              </a:graphicData>
            </a:graphic>
          </wp:inline>
        </w:drawing>
      </w:r>
    </w:p>
    <w:p w14:paraId="08589837" w14:textId="77777777" w:rsidR="008E5B13" w:rsidRDefault="008E5B13" w:rsidP="002179EB">
      <w:pPr>
        <w:spacing w:after="240" w:line="240" w:lineRule="auto"/>
        <w:jc w:val="center"/>
        <w:rPr>
          <w:rFonts w:ascii="Times New Roman" w:eastAsiaTheme="majorEastAsia" w:hAnsi="Times New Roman" w:cs="Times New Roman"/>
          <w:color w:val="0F4761" w:themeColor="accent1" w:themeShade="BF"/>
          <w:sz w:val="28"/>
          <w:szCs w:val="28"/>
        </w:rPr>
      </w:pPr>
    </w:p>
    <w:p w14:paraId="0E6D3607" w14:textId="7CAA824F" w:rsidR="00B636A5" w:rsidRDefault="00B636A5" w:rsidP="00B636A5">
      <w:pPr>
        <w:spacing w:after="240" w:line="240" w:lineRule="auto"/>
        <w:jc w:val="center"/>
        <w:rPr>
          <w:rFonts w:ascii="Times New Roman" w:eastAsiaTheme="majorEastAsia" w:hAnsi="Times New Roman" w:cs="Times New Roman"/>
          <w:color w:val="0F4761" w:themeColor="accent1" w:themeShade="BF"/>
          <w:sz w:val="28"/>
          <w:szCs w:val="28"/>
        </w:rPr>
      </w:pPr>
    </w:p>
    <w:p w14:paraId="3848FE5E" w14:textId="2DD60720" w:rsidR="00B27156" w:rsidRDefault="00B27156" w:rsidP="00B27156">
      <w:pPr>
        <w:spacing w:after="240" w:line="240" w:lineRule="auto"/>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06DC1F89" wp14:editId="14635D1C">
            <wp:extent cx="4457582" cy="8048531"/>
            <wp:effectExtent l="0" t="0" r="635" b="0"/>
            <wp:docPr id="1459963665"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63665" name="Picture 2" descr="A screenshot of a graph&#10;&#10;Description automatically generated"/>
                    <pic:cNvPicPr/>
                  </pic:nvPicPr>
                  <pic:blipFill rotWithShape="1">
                    <a:blip r:embed="rId14" cstate="print">
                      <a:extLst>
                        <a:ext uri="{28A0092B-C50C-407E-A947-70E740481C1C}">
                          <a14:useLocalDpi xmlns:a14="http://schemas.microsoft.com/office/drawing/2010/main" val="0"/>
                        </a:ext>
                      </a:extLst>
                    </a:blip>
                    <a:srcRect l="1092" t="255" r="758" b="241"/>
                    <a:stretch/>
                  </pic:blipFill>
                  <pic:spPr bwMode="auto">
                    <a:xfrm>
                      <a:off x="0" y="0"/>
                      <a:ext cx="4465602" cy="8063012"/>
                    </a:xfrm>
                    <a:prstGeom prst="rect">
                      <a:avLst/>
                    </a:prstGeom>
                    <a:ln>
                      <a:noFill/>
                    </a:ln>
                    <a:extLst>
                      <a:ext uri="{53640926-AAD7-44D8-BBD7-CCE9431645EC}">
                        <a14:shadowObscured xmlns:a14="http://schemas.microsoft.com/office/drawing/2010/main"/>
                      </a:ext>
                    </a:extLst>
                  </pic:spPr>
                </pic:pic>
              </a:graphicData>
            </a:graphic>
          </wp:inline>
        </w:drawing>
      </w:r>
    </w:p>
    <w:p w14:paraId="35D2F8DD" w14:textId="70435179" w:rsidR="00B636A5" w:rsidRPr="00B636A5" w:rsidRDefault="00B636A5" w:rsidP="00B636A5">
      <w:pPr>
        <w:spacing w:after="240" w:line="240" w:lineRule="auto"/>
        <w:rPr>
          <w:rFonts w:ascii="Times New Roman" w:hAnsi="Times New Roman" w:cs="Times New Roman"/>
          <w:b/>
          <w:bCs/>
          <w:sz w:val="20"/>
          <w:szCs w:val="20"/>
        </w:rPr>
        <w:sectPr w:rsidR="00B636A5" w:rsidRPr="00B636A5" w:rsidSect="00A2449F">
          <w:type w:val="nextColumn"/>
          <w:pgSz w:w="11906" w:h="16838"/>
          <w:pgMar w:top="1440" w:right="1440" w:bottom="1440" w:left="1440" w:header="708" w:footer="708" w:gutter="0"/>
          <w:lnNumType w:countBy="5" w:restart="continuous"/>
          <w:cols w:space="708"/>
          <w:docGrid w:linePitch="360"/>
        </w:sectPr>
      </w:pPr>
      <w:r w:rsidRPr="00B636A5">
        <w:rPr>
          <w:rFonts w:ascii="Times New Roman" w:hAnsi="Times New Roman" w:cs="Times New Roman"/>
          <w:b/>
          <w:bCs/>
          <w:sz w:val="20"/>
          <w:szCs w:val="20"/>
        </w:rPr>
        <w:t xml:space="preserve">Figure S8: </w:t>
      </w:r>
      <w:r w:rsidR="00C73E4F">
        <w:rPr>
          <w:rFonts w:ascii="Times New Roman" w:hAnsi="Times New Roman" w:cs="Times New Roman"/>
          <w:sz w:val="20"/>
          <w:szCs w:val="20"/>
        </w:rPr>
        <w:t>I</w:t>
      </w:r>
      <w:r w:rsidRPr="00AD3B42">
        <w:rPr>
          <w:rFonts w:ascii="Times New Roman" w:hAnsi="Times New Roman" w:cs="Times New Roman"/>
          <w:sz w:val="20"/>
          <w:szCs w:val="20"/>
        </w:rPr>
        <w:t xml:space="preserve">n situ </w:t>
      </w:r>
      <w:r w:rsidRPr="00E72A72">
        <w:rPr>
          <w:rFonts w:ascii="Times New Roman" w:hAnsi="Times New Roman" w:cs="Times New Roman"/>
          <w:sz w:val="20"/>
          <w:szCs w:val="20"/>
          <w:vertAlign w:val="superscript"/>
        </w:rPr>
        <w:t>14</w:t>
      </w:r>
      <w:r w:rsidRPr="00AD3B42">
        <w:rPr>
          <w:rFonts w:ascii="Times New Roman" w:hAnsi="Times New Roman" w:cs="Times New Roman"/>
          <w:sz w:val="20"/>
          <w:szCs w:val="20"/>
        </w:rPr>
        <w:t>C concentrations</w:t>
      </w:r>
      <w:r w:rsidR="00C73E4F">
        <w:rPr>
          <w:rFonts w:ascii="Times New Roman" w:hAnsi="Times New Roman" w:cs="Times New Roman"/>
          <w:sz w:val="20"/>
          <w:szCs w:val="20"/>
        </w:rPr>
        <w:t xml:space="preserve"> for Mt Murphy surface samples,</w:t>
      </w:r>
      <w:r w:rsidRPr="00AD3B42">
        <w:rPr>
          <w:rFonts w:ascii="Times New Roman" w:hAnsi="Times New Roman" w:cs="Times New Roman"/>
          <w:sz w:val="20"/>
          <w:szCs w:val="20"/>
        </w:rPr>
        <w:t xml:space="preserve"> </w:t>
      </w:r>
      <w:r w:rsidR="00B27156">
        <w:rPr>
          <w:rFonts w:ascii="Times New Roman" w:hAnsi="Times New Roman" w:cs="Times New Roman"/>
          <w:sz w:val="20"/>
          <w:szCs w:val="20"/>
        </w:rPr>
        <w:t xml:space="preserve">displaying uncertainties </w:t>
      </w:r>
      <w:r w:rsidRPr="00AD3B42">
        <w:rPr>
          <w:rFonts w:ascii="Times New Roman" w:hAnsi="Times New Roman" w:cs="Times New Roman"/>
          <w:sz w:val="20"/>
          <w:szCs w:val="20"/>
        </w:rPr>
        <w:t xml:space="preserve">assuming </w:t>
      </w:r>
      <w:r>
        <w:rPr>
          <w:rFonts w:ascii="Times New Roman" w:hAnsi="Times New Roman" w:cs="Times New Roman"/>
          <w:sz w:val="20"/>
          <w:szCs w:val="20"/>
        </w:rPr>
        <w:t xml:space="preserve">measurement blanks with </w:t>
      </w:r>
      <w:r w:rsidR="00C73E4F">
        <w:rPr>
          <w:rFonts w:ascii="Times New Roman" w:hAnsi="Times New Roman" w:cs="Times New Roman"/>
          <w:sz w:val="20"/>
          <w:szCs w:val="20"/>
        </w:rPr>
        <w:t xml:space="preserve">a </w:t>
      </w:r>
      <w:r>
        <w:rPr>
          <w:rFonts w:ascii="Times New Roman" w:hAnsi="Times New Roman" w:cs="Times New Roman"/>
          <w:sz w:val="20"/>
          <w:szCs w:val="20"/>
        </w:rPr>
        <w:t xml:space="preserve">non-time dependent </w:t>
      </w:r>
      <w:r w:rsidRPr="00AD3B42">
        <w:rPr>
          <w:rFonts w:ascii="Times New Roman" w:hAnsi="Times New Roman" w:cs="Times New Roman"/>
          <w:sz w:val="20"/>
          <w:szCs w:val="20"/>
        </w:rPr>
        <w:t>lognormal distribution</w:t>
      </w:r>
      <w:r>
        <w:rPr>
          <w:rFonts w:ascii="Times New Roman" w:hAnsi="Times New Roman" w:cs="Times New Roman"/>
          <w:sz w:val="20"/>
          <w:szCs w:val="20"/>
        </w:rPr>
        <w:t xml:space="preserve">. </w:t>
      </w:r>
      <w:r w:rsidR="00B27156">
        <w:rPr>
          <w:rFonts w:ascii="Times New Roman" w:hAnsi="Times New Roman" w:cs="Times New Roman"/>
          <w:sz w:val="20"/>
          <w:szCs w:val="20"/>
        </w:rPr>
        <w:t xml:space="preserve">Panel </w:t>
      </w:r>
      <w:r w:rsidR="00B27156" w:rsidRPr="00B27156">
        <w:rPr>
          <w:rFonts w:ascii="Times New Roman" w:hAnsi="Times New Roman" w:cs="Times New Roman"/>
          <w:b/>
          <w:bCs/>
          <w:sz w:val="20"/>
          <w:szCs w:val="20"/>
        </w:rPr>
        <w:t>(a)</w:t>
      </w:r>
      <w:r w:rsidR="00B27156">
        <w:rPr>
          <w:rFonts w:ascii="Times New Roman" w:hAnsi="Times New Roman" w:cs="Times New Roman"/>
          <w:sz w:val="20"/>
          <w:szCs w:val="20"/>
        </w:rPr>
        <w:t xml:space="preserve"> e</w:t>
      </w:r>
      <w:r w:rsidRPr="00AD3B42">
        <w:rPr>
          <w:rFonts w:ascii="Times New Roman" w:hAnsi="Times New Roman" w:cs="Times New Roman"/>
          <w:sz w:val="20"/>
          <w:szCs w:val="20"/>
        </w:rPr>
        <w:t>rror bars represent the 68 % confidence interval (</w:t>
      </w:r>
      <w:r>
        <w:rPr>
          <w:rFonts w:ascii="Times New Roman" w:hAnsi="Times New Roman" w:cs="Times New Roman"/>
          <w:sz w:val="20"/>
          <w:szCs w:val="20"/>
        </w:rPr>
        <w:t xml:space="preserve">approximately </w:t>
      </w:r>
      <w:r w:rsidRPr="00AD3B42">
        <w:rPr>
          <w:rFonts w:ascii="Times New Roman" w:hAnsi="Times New Roman" w:cs="Times New Roman"/>
          <w:sz w:val="20"/>
          <w:szCs w:val="20"/>
        </w:rPr>
        <w:t>equivalent to 1</w:t>
      </w:r>
      <w:r w:rsidRPr="00AD3B42">
        <w:rPr>
          <w:rFonts w:ascii="Calibri" w:hAnsi="Calibri" w:cs="Calibri"/>
          <w:sz w:val="20"/>
          <w:szCs w:val="20"/>
        </w:rPr>
        <w:t>σ</w:t>
      </w:r>
      <w:r w:rsidRPr="00AD3B42">
        <w:rPr>
          <w:rFonts w:ascii="Times New Roman" w:hAnsi="Times New Roman" w:cs="Times New Roman"/>
          <w:sz w:val="20"/>
          <w:szCs w:val="20"/>
        </w:rPr>
        <w:t>)</w:t>
      </w:r>
      <w:r w:rsidR="00B27156">
        <w:rPr>
          <w:rFonts w:ascii="Times New Roman" w:hAnsi="Times New Roman" w:cs="Times New Roman"/>
          <w:sz w:val="20"/>
          <w:szCs w:val="20"/>
        </w:rPr>
        <w:t>,</w:t>
      </w:r>
      <w:r w:rsidRPr="00AD3B42">
        <w:rPr>
          <w:rFonts w:ascii="Times New Roman" w:hAnsi="Times New Roman" w:cs="Times New Roman"/>
          <w:sz w:val="20"/>
          <w:szCs w:val="20"/>
        </w:rPr>
        <w:t xml:space="preserve"> </w:t>
      </w:r>
      <w:r w:rsidR="00B27156">
        <w:rPr>
          <w:rFonts w:ascii="Times New Roman" w:hAnsi="Times New Roman" w:cs="Times New Roman"/>
          <w:sz w:val="20"/>
          <w:szCs w:val="20"/>
        </w:rPr>
        <w:t xml:space="preserve">and panel </w:t>
      </w:r>
      <w:r w:rsidR="00B27156" w:rsidRPr="00B27156">
        <w:rPr>
          <w:rFonts w:ascii="Times New Roman" w:hAnsi="Times New Roman" w:cs="Times New Roman"/>
          <w:b/>
          <w:bCs/>
          <w:sz w:val="20"/>
          <w:szCs w:val="20"/>
        </w:rPr>
        <w:t>(</w:t>
      </w:r>
      <w:r w:rsidR="00B27156">
        <w:rPr>
          <w:rFonts w:ascii="Times New Roman" w:hAnsi="Times New Roman" w:cs="Times New Roman"/>
          <w:b/>
          <w:bCs/>
          <w:sz w:val="20"/>
          <w:szCs w:val="20"/>
        </w:rPr>
        <w:t>b</w:t>
      </w:r>
      <w:r w:rsidR="00B27156" w:rsidRPr="00B27156">
        <w:rPr>
          <w:rFonts w:ascii="Times New Roman" w:hAnsi="Times New Roman" w:cs="Times New Roman"/>
          <w:b/>
          <w:bCs/>
          <w:sz w:val="20"/>
          <w:szCs w:val="20"/>
        </w:rPr>
        <w:t>)</w:t>
      </w:r>
      <w:r w:rsidR="00B27156">
        <w:rPr>
          <w:rFonts w:ascii="Times New Roman" w:hAnsi="Times New Roman" w:cs="Times New Roman"/>
          <w:sz w:val="20"/>
          <w:szCs w:val="20"/>
        </w:rPr>
        <w:t xml:space="preserve"> e</w:t>
      </w:r>
      <w:r w:rsidR="00B27156" w:rsidRPr="00AD3B42">
        <w:rPr>
          <w:rFonts w:ascii="Times New Roman" w:hAnsi="Times New Roman" w:cs="Times New Roman"/>
          <w:sz w:val="20"/>
          <w:szCs w:val="20"/>
        </w:rPr>
        <w:t xml:space="preserve">rror bars represent the </w:t>
      </w:r>
      <w:r w:rsidR="00B27156">
        <w:rPr>
          <w:rFonts w:ascii="Times New Roman" w:hAnsi="Times New Roman" w:cs="Times New Roman"/>
          <w:sz w:val="20"/>
          <w:szCs w:val="20"/>
        </w:rPr>
        <w:t>95</w:t>
      </w:r>
      <w:r w:rsidR="00B27156" w:rsidRPr="00AD3B42">
        <w:rPr>
          <w:rFonts w:ascii="Times New Roman" w:hAnsi="Times New Roman" w:cs="Times New Roman"/>
          <w:sz w:val="20"/>
          <w:szCs w:val="20"/>
        </w:rPr>
        <w:t xml:space="preserve"> % confidence interval (</w:t>
      </w:r>
      <w:r w:rsidR="00B27156">
        <w:rPr>
          <w:rFonts w:ascii="Times New Roman" w:hAnsi="Times New Roman" w:cs="Times New Roman"/>
          <w:sz w:val="20"/>
          <w:szCs w:val="20"/>
        </w:rPr>
        <w:t>~</w:t>
      </w:r>
      <w:r w:rsidR="00B27156" w:rsidRPr="00AD3B42">
        <w:rPr>
          <w:rFonts w:ascii="Times New Roman" w:hAnsi="Times New Roman" w:cs="Times New Roman"/>
          <w:sz w:val="20"/>
          <w:szCs w:val="20"/>
        </w:rPr>
        <w:t xml:space="preserve"> </w:t>
      </w:r>
      <w:r w:rsidR="00B27156">
        <w:rPr>
          <w:rFonts w:ascii="Times New Roman" w:hAnsi="Times New Roman" w:cs="Times New Roman"/>
          <w:sz w:val="20"/>
          <w:szCs w:val="20"/>
        </w:rPr>
        <w:t>2</w:t>
      </w:r>
      <w:r w:rsidR="00B27156" w:rsidRPr="00AD3B42">
        <w:rPr>
          <w:rFonts w:ascii="Calibri" w:hAnsi="Calibri" w:cs="Calibri"/>
          <w:sz w:val="20"/>
          <w:szCs w:val="20"/>
        </w:rPr>
        <w:t>σ</w:t>
      </w:r>
      <w:r w:rsidR="00B27156" w:rsidRPr="00AD3B42">
        <w:rPr>
          <w:rFonts w:ascii="Times New Roman" w:hAnsi="Times New Roman" w:cs="Times New Roman"/>
          <w:sz w:val="20"/>
          <w:szCs w:val="20"/>
        </w:rPr>
        <w:t>)</w:t>
      </w:r>
      <w:r w:rsidR="00B27156">
        <w:rPr>
          <w:rFonts w:ascii="Times New Roman" w:hAnsi="Times New Roman" w:cs="Times New Roman"/>
          <w:sz w:val="20"/>
          <w:szCs w:val="20"/>
        </w:rPr>
        <w:t>.</w:t>
      </w:r>
      <w:r w:rsidR="00B27156" w:rsidRPr="00AD3B42">
        <w:rPr>
          <w:rFonts w:ascii="Times New Roman" w:hAnsi="Times New Roman" w:cs="Times New Roman"/>
          <w:sz w:val="20"/>
          <w:szCs w:val="20"/>
        </w:rPr>
        <w:t xml:space="preserve"> </w:t>
      </w:r>
      <w:r>
        <w:rPr>
          <w:rFonts w:ascii="Times New Roman" w:hAnsi="Times New Roman" w:cs="Times New Roman"/>
          <w:sz w:val="20"/>
          <w:szCs w:val="20"/>
        </w:rPr>
        <w:t xml:space="preserve">See </w:t>
      </w:r>
      <w:r>
        <w:rPr>
          <w:rFonts w:ascii="Times New Roman" w:hAnsi="Times New Roman" w:cs="Times New Roman"/>
          <w:sz w:val="20"/>
          <w:szCs w:val="20"/>
        </w:rPr>
        <w:fldChar w:fldCharType="begin" w:fldLock="1"/>
      </w:r>
      <w:r>
        <w:rPr>
          <w:rFonts w:ascii="Times New Roman" w:hAnsi="Times New Roman" w:cs="Times New Roman"/>
          <w:sz w:val="20"/>
          <w:szCs w:val="20"/>
        </w:rPr>
        <w:instrText>ADDIN CSL_CITATION {"citationItems":[{"id":"ITEM-1","itemData":{"DOI":"doi.org/10.5194/tc-2022-172-AC2","ISBN":"9788490225370","abstract":"This study departs from the reality of gender relations within the family institution which has to be dikhotomis, causing the pole inequality relations between men and women. Therefore, in this study wanted to dismantle the detail view of some theories, both social and feminist about gender relations in the family. Each of these theories (structural functional, conflict and feminist) has their own viewpoint about the pattern of gender relations in the family. However, simultaneously acknowledging that the social construction of culture remained significant influence on the division of roles are played by men (husbands) and women (wife) in the family institution. This means that the social construction of culture was instrumental in the creation of relations contribute between men and women equally or otherwise occurred inequality.","author":[{"dropping-particle":"","family":"Balco","given":"Greg","non-dropping-particle":"","parse-names":false,"suffix":""},{"dropping-particle":"","family":"Brown","given":"Nathan","non-dropping-particle":"","parse-names":false,"suffix":""},{"dropping-particle":"","family":"Nichols","given":"Keir","non-dropping-particle":"","parse-names":false,"suffix":""},{"dropping-particle":"","family":"Venturelli","given":"Ryan A.","non-dropping-particle":"","parse-names":false,"suffix":""},{"dropping-particle":"","family":"Adams","given":"Jonathan","non-dropping-particle":"","parse-names":false,"suffix":""},{"dropping-particle":"","family":"Braddock","given":"Scott","non-dropping-particle":"","parse-names":false,"suffix":""},{"dropping-particle":"","family":"Campbell","given":"Seth","non-dropping-particle":"","parse-names":false,"suffix":""},{"dropping-particle":"","family":"Goehring","given":"Brent","non-dropping-particle":"","parse-names":false,"suffix":""},{"dropping-particle":"","family":"Johnson","given":"Joanne S.","non-dropping-particle":"","parse-names":false,"suffix":""},{"dropping-particle":"","family":"Rood","given":"Dylan H.","non-dropping-particle":"","parse-names":false,"suffix":""},{"dropping-particle":"","family":"Wilcken","given":"Klaus","non-dropping-particle":"","parse-names":false,"suffix":""},{"dropping-particle":"","family":"Hall","given":"Brenda","non-dropping-particle":"","parse-names":false,"suffix":""},{"dropping-particle":"","family":"Woodward","given":"John","non-dropping-particle":"","parse-names":false,"suffix":""}],"container-title":"The Cryosphere Discussions","id":"ITEM-1","issue":"1","issued":{"date-parts":[["2022"]]},"page":"1-12","title":"Response to review 2 (Nat Lifton) of 'Reversible ice sheet thinning in the Amundsen Sea embayment during the late Holocene'","type":"article-journal","volume":"33"},"uris":["http://www.mendeley.com/documents/?uuid=9a7d563c-dcf1-43d3-9ee2-38f634dbfb1d"]},{"id":"ITEM-2","itemData":{"abstract":"Cosmogenic-nuclide concentrations in subglacial bedrock cores show that the West Antarctic Ice Sheet (WAIS) at a site between Thwaites and Pope glaciers was at least 35 m thinner than present in the past several thousand years and then subsequently thickened. This is important because of concern that present thinning and grounding line retreat at these and nearby glaciers in the Amundsen Sea Embayment may irreversibly lead to deglaciation of significant portions of the WAIS, with decimeter- to meter-scale sea level rise within decades to centuries. A past episode of ice sheet thinning that took place in a similar, although not identical, climate was not irreversible. We propose that the past thinning– thickening cycle was due to a glacioisostatic rebound feedback, similar to that invoked as a possible stabilizing mechanism for current grounding line retreat, in which isostatic uplift caused by Early Holocene thinning led to relative sea level fall favoring grounding line advance.","author":[{"dropping-particle":"","family":"Balco","given":"Greg","non-dropping-particle":"","parse-names":false,"suffix":""},{"dropping-particle":"","family":"Brown","given":"Nathan","non-dropping-particle":"","parse-names":false,"suffix":""},{"dropping-particle":"","family":"Nichols","given":"Keir","non-dropping-particle":"","parse-names":false,"suffix":""},{"dropping-particle":"","family":"Venturelli","given":"Ryan A.","non-dropping-particle":"","parse-names":false,"suffix":""},{"dropping-particle":"","family":"Adams","given":"Jonathan","non-dropping-particle":"","parse-names":false,"suffix":""},{"dropping-particle":"","family":"Braddock","given":"Scott","non-dropping-particle":"","parse-names":false,"suffix":""},{"dropping-particle":"","family":"Campbell","given":"Seth","non-dropping-particle":"","parse-names":false,"suffix":""},{"dropping-particle":"","family":"Goehring","given":"Brent","non-dropping-particle":"","parse-names":false,"suffix":""},{"dropping-particle":"","family":"Johnson","given":"Joanne S.","non-dropping-particle":"","parse-names":false,"suffix":""},{"dropping-particle":"","family":"Rood","given":"Dylan H.","non-dropping-particle":"","parse-names":false,"suffix":""},{"dropping-particle":"","family":"Wilcken","given":"Klaus","non-dropping-particle":"","parse-names":false,"suffix":""},{"dropping-particle":"","family":"Hall","given":"Brenda","non-dropping-particle":"","parse-names":false,"suffix":""},{"dropping-particle":"","family":"Woodward","given":"John","non-dropping-particle":"","parse-names":false,"suffix":""}],"container-title":"The Cryosphere","id":"ITEM-2","issued":{"date-parts":[["2023"]]},"page":"1787-1801","title":"Reversible ice sheet thinning in the Amundsen Sea Embayment during the Late Holocene","type":"article-journal","volume":"17"},"uris":["http://www.mendeley.com/documents/?uuid=f452310a-f21c-342d-bbc8-0f42717159ea"]}],"mendeley":{"formattedCitation":"(Balco et al., 2022, 2023)","manualFormatting":"Balco et al., (2022, 2023)","plainTextFormattedCitation":"(Balco et al., 2022, 2023)","previouslyFormattedCitation":"(Balco et al., 2022, 2023)"},"properties":{"noteIndex":0},"schema":"https://github.com/citation-style-language/schema/raw/master/csl-citation.json"}</w:instrText>
      </w:r>
      <w:r>
        <w:rPr>
          <w:rFonts w:ascii="Times New Roman" w:hAnsi="Times New Roman" w:cs="Times New Roman"/>
          <w:sz w:val="20"/>
          <w:szCs w:val="20"/>
        </w:rPr>
        <w:fldChar w:fldCharType="separate"/>
      </w:r>
      <w:r w:rsidRPr="00466397">
        <w:rPr>
          <w:rFonts w:ascii="Times New Roman" w:hAnsi="Times New Roman" w:cs="Times New Roman"/>
          <w:noProof/>
          <w:sz w:val="20"/>
          <w:szCs w:val="20"/>
        </w:rPr>
        <w:t xml:space="preserve">Balco et al., </w:t>
      </w:r>
      <w:r>
        <w:rPr>
          <w:rFonts w:ascii="Times New Roman" w:hAnsi="Times New Roman" w:cs="Times New Roman"/>
          <w:noProof/>
          <w:sz w:val="20"/>
          <w:szCs w:val="20"/>
        </w:rPr>
        <w:t>(</w:t>
      </w:r>
      <w:r w:rsidRPr="00466397">
        <w:rPr>
          <w:rFonts w:ascii="Times New Roman" w:hAnsi="Times New Roman" w:cs="Times New Roman"/>
          <w:noProof/>
          <w:sz w:val="20"/>
          <w:szCs w:val="20"/>
        </w:rPr>
        <w:t>2022, 2023)</w:t>
      </w:r>
      <w:r>
        <w:rPr>
          <w:rFonts w:ascii="Times New Roman" w:hAnsi="Times New Roman" w:cs="Times New Roman"/>
          <w:sz w:val="20"/>
          <w:szCs w:val="20"/>
        </w:rPr>
        <w:fldChar w:fldCharType="end"/>
      </w:r>
      <w:r>
        <w:rPr>
          <w:rFonts w:ascii="Times New Roman" w:hAnsi="Times New Roman" w:cs="Times New Roman"/>
          <w:sz w:val="20"/>
          <w:szCs w:val="20"/>
        </w:rPr>
        <w:t xml:space="preserve"> for a detailed discussion of the non-normal blank correction.</w:t>
      </w:r>
    </w:p>
    <w:bookmarkEnd w:id="0"/>
    <w:p w14:paraId="70B0EF72" w14:textId="4FF1355F" w:rsidR="00C13E1D" w:rsidRPr="004707A8" w:rsidRDefault="00C13E1D" w:rsidP="00C13E1D">
      <w:pPr>
        <w:rPr>
          <w:rFonts w:ascii="Times New Roman" w:hAnsi="Times New Roman" w:cs="Times New Roman"/>
          <w:sz w:val="20"/>
          <w:szCs w:val="20"/>
        </w:rPr>
      </w:pPr>
      <w:r w:rsidRPr="004707A8">
        <w:rPr>
          <w:rFonts w:ascii="Times New Roman" w:hAnsi="Times New Roman" w:cs="Times New Roman"/>
          <w:b/>
          <w:bCs/>
          <w:sz w:val="20"/>
          <w:szCs w:val="20"/>
        </w:rPr>
        <w:lastRenderedPageBreak/>
        <w:t>Table S</w:t>
      </w:r>
      <w:r w:rsidR="002F130F">
        <w:rPr>
          <w:rFonts w:ascii="Times New Roman" w:hAnsi="Times New Roman" w:cs="Times New Roman"/>
          <w:b/>
          <w:bCs/>
          <w:sz w:val="20"/>
          <w:szCs w:val="20"/>
        </w:rPr>
        <w:t>3</w:t>
      </w:r>
      <w:r w:rsidRPr="004707A8">
        <w:rPr>
          <w:rFonts w:ascii="Times New Roman" w:hAnsi="Times New Roman" w:cs="Times New Roman"/>
          <w:b/>
          <w:bCs/>
          <w:sz w:val="20"/>
          <w:szCs w:val="20"/>
        </w:rPr>
        <w:t>:</w:t>
      </w:r>
      <w:r w:rsidRPr="004707A8">
        <w:rPr>
          <w:rFonts w:ascii="Times New Roman" w:hAnsi="Times New Roman" w:cs="Times New Roman"/>
          <w:sz w:val="20"/>
          <w:szCs w:val="20"/>
        </w:rPr>
        <w:t xml:space="preserve"> Table detailing concentration and geomorphic data of all replicate measurements in ICE-D displayed in Fig</w:t>
      </w:r>
      <w:r w:rsidR="00DC1DE1">
        <w:rPr>
          <w:rFonts w:ascii="Times New Roman" w:hAnsi="Times New Roman" w:cs="Times New Roman"/>
          <w:sz w:val="20"/>
          <w:szCs w:val="20"/>
        </w:rPr>
        <w:t>. 10</w:t>
      </w:r>
      <w:r w:rsidRPr="004707A8">
        <w:rPr>
          <w:rFonts w:ascii="Times New Roman" w:hAnsi="Times New Roman" w:cs="Times New Roman"/>
          <w:sz w:val="20"/>
          <w:szCs w:val="20"/>
        </w:rPr>
        <w:t xml:space="preserve"> of the main text. The second column Sample ID (Y-axis) indicates the position that each sample plots on Fig</w:t>
      </w:r>
      <w:r w:rsidR="00DC1DE1">
        <w:rPr>
          <w:rFonts w:ascii="Times New Roman" w:hAnsi="Times New Roman" w:cs="Times New Roman"/>
          <w:sz w:val="20"/>
          <w:szCs w:val="20"/>
        </w:rPr>
        <w:t>.</w:t>
      </w:r>
      <w:r w:rsidRPr="004707A8">
        <w:rPr>
          <w:rFonts w:ascii="Times New Roman" w:hAnsi="Times New Roman" w:cs="Times New Roman"/>
          <w:sz w:val="20"/>
          <w:szCs w:val="20"/>
        </w:rPr>
        <w:t xml:space="preserve"> </w:t>
      </w:r>
      <w:r w:rsidR="00DC1DE1">
        <w:rPr>
          <w:rFonts w:ascii="Times New Roman" w:hAnsi="Times New Roman" w:cs="Times New Roman"/>
          <w:sz w:val="20"/>
          <w:szCs w:val="20"/>
        </w:rPr>
        <w:t>10</w:t>
      </w:r>
      <w:r w:rsidRPr="004707A8">
        <w:rPr>
          <w:rFonts w:ascii="Times New Roman" w:hAnsi="Times New Roman" w:cs="Times New Roman"/>
          <w:sz w:val="20"/>
          <w:szCs w:val="20"/>
        </w:rPr>
        <w:t>. Measurement errors are ± 6 % of the concentration measured for each sample unless accompanied by an *  which denotes measurement errors reported from the original study which are greater than ± 6 %.</w:t>
      </w:r>
    </w:p>
    <w:p w14:paraId="4EDECD0B" w14:textId="77777777" w:rsidR="00C13E1D" w:rsidRDefault="00C13E1D" w:rsidP="00C13E1D">
      <w:pPr>
        <w:jc w:val="center"/>
        <w:rPr>
          <w:rFonts w:ascii="Times New Roman" w:hAnsi="Times New Roman" w:cs="Times New Roman"/>
          <w:sz w:val="20"/>
          <w:szCs w:val="20"/>
        </w:rPr>
      </w:pPr>
      <w:r w:rsidRPr="006A5898">
        <w:rPr>
          <w:noProof/>
        </w:rPr>
        <w:drawing>
          <wp:inline distT="0" distB="0" distL="0" distR="0" wp14:anchorId="4E9222A8" wp14:editId="5748557B">
            <wp:extent cx="8952512" cy="4838700"/>
            <wp:effectExtent l="0" t="0" r="1270" b="0"/>
            <wp:docPr id="19582052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682"/>
                    <a:stretch/>
                  </pic:blipFill>
                  <pic:spPr bwMode="auto">
                    <a:xfrm>
                      <a:off x="0" y="0"/>
                      <a:ext cx="8958087" cy="4841713"/>
                    </a:xfrm>
                    <a:prstGeom prst="rect">
                      <a:avLst/>
                    </a:prstGeom>
                    <a:noFill/>
                    <a:ln>
                      <a:noFill/>
                    </a:ln>
                    <a:extLst>
                      <a:ext uri="{53640926-AAD7-44D8-BBD7-CCE9431645EC}">
                        <a14:shadowObscured xmlns:a14="http://schemas.microsoft.com/office/drawing/2010/main"/>
                      </a:ext>
                    </a:extLst>
                  </pic:spPr>
                </pic:pic>
              </a:graphicData>
            </a:graphic>
          </wp:inline>
        </w:drawing>
      </w:r>
    </w:p>
    <w:p w14:paraId="546CF6BC" w14:textId="77777777" w:rsidR="00C13E1D" w:rsidRDefault="00C13E1D" w:rsidP="00C13E1D">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0D043058" wp14:editId="007536B8">
            <wp:extent cx="8596265" cy="5033399"/>
            <wp:effectExtent l="0" t="0" r="0" b="0"/>
            <wp:docPr id="754082166"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82166" name="Picture 1" descr="A diagram of a graph&#10;&#10;Description automatically generated with medium confidence"/>
                    <pic:cNvPicPr/>
                  </pic:nvPicPr>
                  <pic:blipFill rotWithShape="1">
                    <a:blip r:embed="rId16">
                      <a:extLst>
                        <a:ext uri="{28A0092B-C50C-407E-A947-70E740481C1C}">
                          <a14:useLocalDpi xmlns:a14="http://schemas.microsoft.com/office/drawing/2010/main" val="0"/>
                        </a:ext>
                      </a:extLst>
                    </a:blip>
                    <a:srcRect t="3146" r="3926"/>
                    <a:stretch/>
                  </pic:blipFill>
                  <pic:spPr bwMode="auto">
                    <a:xfrm>
                      <a:off x="0" y="0"/>
                      <a:ext cx="8614721" cy="5044206"/>
                    </a:xfrm>
                    <a:prstGeom prst="rect">
                      <a:avLst/>
                    </a:prstGeom>
                    <a:ln>
                      <a:noFill/>
                    </a:ln>
                    <a:extLst>
                      <a:ext uri="{53640926-AAD7-44D8-BBD7-CCE9431645EC}">
                        <a14:shadowObscured xmlns:a14="http://schemas.microsoft.com/office/drawing/2010/main"/>
                      </a:ext>
                    </a:extLst>
                  </pic:spPr>
                </pic:pic>
              </a:graphicData>
            </a:graphic>
          </wp:inline>
        </w:drawing>
      </w:r>
    </w:p>
    <w:p w14:paraId="73427F08" w14:textId="1E3A4538" w:rsidR="00C13E1D" w:rsidRPr="00A918BE" w:rsidRDefault="00C13E1D" w:rsidP="00C13E1D">
      <w:pPr>
        <w:rPr>
          <w:rFonts w:ascii="Times New Roman" w:hAnsi="Times New Roman" w:cs="Times New Roman"/>
          <w:sz w:val="20"/>
          <w:szCs w:val="20"/>
        </w:rPr>
      </w:pPr>
      <w:r w:rsidRPr="00A96E39">
        <w:rPr>
          <w:rFonts w:ascii="Times New Roman" w:hAnsi="Times New Roman" w:cs="Times New Roman"/>
          <w:b/>
          <w:bCs/>
          <w:sz w:val="20"/>
          <w:szCs w:val="20"/>
        </w:rPr>
        <w:t>Fig</w:t>
      </w:r>
      <w:r w:rsidR="002179EB" w:rsidRPr="00A96E39">
        <w:rPr>
          <w:rFonts w:ascii="Times New Roman" w:hAnsi="Times New Roman" w:cs="Times New Roman"/>
          <w:b/>
          <w:bCs/>
          <w:sz w:val="20"/>
          <w:szCs w:val="20"/>
        </w:rPr>
        <w:t>ure</w:t>
      </w:r>
      <w:r w:rsidR="00AE763B" w:rsidRPr="00A96E39">
        <w:rPr>
          <w:rFonts w:ascii="Times New Roman" w:hAnsi="Times New Roman" w:cs="Times New Roman"/>
          <w:b/>
          <w:bCs/>
          <w:sz w:val="20"/>
          <w:szCs w:val="20"/>
        </w:rPr>
        <w:t xml:space="preserve"> </w:t>
      </w:r>
      <w:r w:rsidRPr="00A96E39">
        <w:rPr>
          <w:rFonts w:ascii="Times New Roman" w:hAnsi="Times New Roman" w:cs="Times New Roman"/>
          <w:b/>
          <w:bCs/>
          <w:sz w:val="20"/>
          <w:szCs w:val="20"/>
        </w:rPr>
        <w:t>S</w:t>
      </w:r>
      <w:r w:rsidR="00A91ED7" w:rsidRPr="00A96E39">
        <w:rPr>
          <w:rFonts w:ascii="Times New Roman" w:hAnsi="Times New Roman" w:cs="Times New Roman"/>
          <w:b/>
          <w:bCs/>
          <w:sz w:val="20"/>
          <w:szCs w:val="20"/>
        </w:rPr>
        <w:t>9</w:t>
      </w:r>
      <w:r w:rsidRPr="00A96E39">
        <w:rPr>
          <w:rFonts w:ascii="Times New Roman" w:hAnsi="Times New Roman" w:cs="Times New Roman"/>
          <w:b/>
          <w:bCs/>
          <w:sz w:val="20"/>
          <w:szCs w:val="20"/>
        </w:rPr>
        <w:t xml:space="preserve">: </w:t>
      </w:r>
      <w:r w:rsidRPr="004707A8">
        <w:rPr>
          <w:rFonts w:ascii="Times New Roman" w:hAnsi="Times New Roman" w:cs="Times New Roman"/>
          <w:sz w:val="20"/>
          <w:szCs w:val="20"/>
        </w:rPr>
        <w:t>In situ ¹⁴C concentrations in ICE-D for which one or more replicate measurements have been made on the same sample (n = 31). Same samples are displayed as in Fig</w:t>
      </w:r>
      <w:r w:rsidR="00AD3E59">
        <w:rPr>
          <w:rFonts w:ascii="Times New Roman" w:hAnsi="Times New Roman" w:cs="Times New Roman"/>
          <w:sz w:val="20"/>
          <w:szCs w:val="20"/>
        </w:rPr>
        <w:t xml:space="preserve">. </w:t>
      </w:r>
      <w:r w:rsidR="002D25C3">
        <w:rPr>
          <w:rFonts w:ascii="Times New Roman" w:hAnsi="Times New Roman" w:cs="Times New Roman"/>
          <w:sz w:val="20"/>
          <w:szCs w:val="20"/>
        </w:rPr>
        <w:t>10</w:t>
      </w:r>
      <w:r w:rsidRPr="004707A8">
        <w:rPr>
          <w:rFonts w:ascii="Times New Roman" w:hAnsi="Times New Roman" w:cs="Times New Roman"/>
          <w:sz w:val="20"/>
          <w:szCs w:val="20"/>
        </w:rPr>
        <w:t xml:space="preserve"> (main text) showing </w:t>
      </w:r>
      <w:r>
        <w:rPr>
          <w:rFonts w:ascii="Times New Roman" w:hAnsi="Times New Roman" w:cs="Times New Roman"/>
          <w:sz w:val="20"/>
          <w:szCs w:val="20"/>
        </w:rPr>
        <w:t xml:space="preserve">2 </w:t>
      </w:r>
      <w:r>
        <w:rPr>
          <w:rFonts w:ascii="Calibri" w:hAnsi="Calibri" w:cs="Calibri"/>
          <w:sz w:val="20"/>
          <w:szCs w:val="20"/>
        </w:rPr>
        <w:t>σ</w:t>
      </w:r>
      <w:r>
        <w:rPr>
          <w:rFonts w:ascii="Times New Roman" w:hAnsi="Times New Roman" w:cs="Times New Roman"/>
          <w:sz w:val="20"/>
          <w:szCs w:val="20"/>
        </w:rPr>
        <w:t xml:space="preserve"> uncertainty on measurement concentrations based on reproducibility analysis of CRONUS-A at Tulane extraction laboratory. Graph indicates that 15 of 31 samples continue to exhibit one or more in situ </w:t>
      </w:r>
      <w:r w:rsidRPr="00A918BE">
        <w:rPr>
          <w:rFonts w:ascii="Times New Roman" w:hAnsi="Times New Roman" w:cs="Times New Roman"/>
          <w:sz w:val="20"/>
          <w:szCs w:val="20"/>
          <w:vertAlign w:val="superscript"/>
        </w:rPr>
        <w:t>14</w:t>
      </w:r>
      <w:r>
        <w:rPr>
          <w:rFonts w:ascii="Times New Roman" w:hAnsi="Times New Roman" w:cs="Times New Roman"/>
          <w:sz w:val="20"/>
          <w:szCs w:val="20"/>
        </w:rPr>
        <w:t>C measurement concentrations which do not reproduce at 2</w:t>
      </w:r>
      <w:r>
        <w:rPr>
          <w:rFonts w:ascii="Calibri" w:hAnsi="Calibri" w:cs="Calibri"/>
          <w:sz w:val="20"/>
          <w:szCs w:val="20"/>
        </w:rPr>
        <w:t xml:space="preserve">σ. </w:t>
      </w:r>
    </w:p>
    <w:p w14:paraId="62BE822D" w14:textId="27E6CB51" w:rsidR="00647D4E" w:rsidRPr="00466397" w:rsidRDefault="00647D4E" w:rsidP="00C13E1D">
      <w:pPr>
        <w:spacing w:before="240" w:after="240" w:line="240" w:lineRule="auto"/>
        <w:jc w:val="both"/>
        <w:rPr>
          <w:rFonts w:ascii="Times New Roman" w:hAnsi="Times New Roman" w:cs="Times New Roman"/>
          <w:sz w:val="20"/>
          <w:szCs w:val="20"/>
        </w:rPr>
        <w:sectPr w:rsidR="00647D4E" w:rsidRPr="00466397" w:rsidSect="00A2449F">
          <w:type w:val="nextColumn"/>
          <w:pgSz w:w="16838" w:h="11906" w:orient="landscape"/>
          <w:pgMar w:top="1440" w:right="1440" w:bottom="1440" w:left="1440" w:header="709" w:footer="709" w:gutter="0"/>
          <w:lnNumType w:countBy="5" w:restart="continuous"/>
          <w:cols w:space="708"/>
          <w:docGrid w:linePitch="360"/>
        </w:sectPr>
      </w:pPr>
    </w:p>
    <w:p w14:paraId="7706ACED" w14:textId="354993CB" w:rsidR="00647D4E" w:rsidRPr="00647D4E" w:rsidRDefault="00647D4E" w:rsidP="00647D4E">
      <w:pPr>
        <w:spacing w:line="360" w:lineRule="auto"/>
        <w:rPr>
          <w:rFonts w:ascii="Times New Roman" w:hAnsi="Times New Roman" w:cs="Times New Roman"/>
          <w:b/>
          <w:bCs/>
        </w:rPr>
      </w:pPr>
      <w:r>
        <w:rPr>
          <w:rFonts w:ascii="Times New Roman" w:hAnsi="Times New Roman" w:cs="Times New Roman"/>
          <w:b/>
          <w:bCs/>
        </w:rPr>
        <w:lastRenderedPageBreak/>
        <w:t>Supplement S2:</w:t>
      </w:r>
      <w:r w:rsidRPr="00647D4E">
        <w:rPr>
          <w:rFonts w:ascii="Times New Roman" w:hAnsi="Times New Roman" w:cs="Times New Roman"/>
          <w:b/>
          <w:bCs/>
        </w:rPr>
        <w:t xml:space="preserve"> </w:t>
      </w:r>
      <w:bookmarkStart w:id="1" w:name="_Toc157690816"/>
      <w:bookmarkStart w:id="2" w:name="_Toc171166668"/>
      <w:bookmarkStart w:id="3" w:name="_Toc130336076"/>
      <w:r w:rsidRPr="00647D4E">
        <w:rPr>
          <w:rFonts w:ascii="Times New Roman" w:hAnsi="Times New Roman" w:cs="Times New Roman"/>
          <w:b/>
          <w:bCs/>
          <w:szCs w:val="20"/>
        </w:rPr>
        <w:t xml:space="preserve">Comparison of excess scatter </w:t>
      </w:r>
      <w:r w:rsidR="00950B89">
        <w:rPr>
          <w:rFonts w:ascii="Times New Roman" w:hAnsi="Times New Roman" w:cs="Times New Roman"/>
          <w:b/>
          <w:bCs/>
          <w:szCs w:val="20"/>
        </w:rPr>
        <w:t>of</w:t>
      </w:r>
      <w:r w:rsidRPr="00647D4E">
        <w:rPr>
          <w:rFonts w:ascii="Times New Roman" w:hAnsi="Times New Roman" w:cs="Times New Roman"/>
          <w:b/>
          <w:bCs/>
          <w:szCs w:val="20"/>
        </w:rPr>
        <w:t xml:space="preserve"> in situ</w:t>
      </w:r>
      <w:r w:rsidRPr="00950B89">
        <w:rPr>
          <w:rFonts w:ascii="Times New Roman" w:hAnsi="Times New Roman" w:cs="Times New Roman"/>
          <w:b/>
          <w:bCs/>
          <w:szCs w:val="20"/>
          <w:vertAlign w:val="superscript"/>
        </w:rPr>
        <w:t xml:space="preserve"> </w:t>
      </w:r>
      <w:r w:rsidR="00950B89">
        <w:rPr>
          <w:rFonts w:ascii="Times New Roman" w:hAnsi="Times New Roman" w:cs="Times New Roman"/>
          <w:b/>
          <w:bCs/>
          <w:szCs w:val="20"/>
          <w:vertAlign w:val="superscript"/>
        </w:rPr>
        <w:t>14</w:t>
      </w:r>
      <w:r w:rsidRPr="00647D4E">
        <w:rPr>
          <w:rFonts w:ascii="Times New Roman" w:hAnsi="Times New Roman" w:cs="Times New Roman"/>
          <w:b/>
          <w:bCs/>
          <w:szCs w:val="20"/>
        </w:rPr>
        <w:t xml:space="preserve">C and </w:t>
      </w:r>
      <w:r w:rsidRPr="00647D4E">
        <w:rPr>
          <w:rFonts w:ascii="Times New Roman" w:hAnsi="Times New Roman" w:cs="Times New Roman"/>
          <w:b/>
          <w:bCs/>
          <w:szCs w:val="20"/>
          <w:vertAlign w:val="superscript"/>
        </w:rPr>
        <w:t>10</w:t>
      </w:r>
      <w:r w:rsidRPr="00647D4E">
        <w:rPr>
          <w:rFonts w:ascii="Times New Roman" w:hAnsi="Times New Roman" w:cs="Times New Roman"/>
          <w:b/>
          <w:bCs/>
          <w:szCs w:val="20"/>
        </w:rPr>
        <w:t>Be data from Mt Murphy</w:t>
      </w:r>
      <w:bookmarkEnd w:id="1"/>
      <w:bookmarkEnd w:id="2"/>
      <w:r w:rsidRPr="00647D4E">
        <w:rPr>
          <w:rFonts w:ascii="Times New Roman" w:hAnsi="Times New Roman" w:cs="Times New Roman"/>
          <w:b/>
          <w:bCs/>
          <w:szCs w:val="20"/>
        </w:rPr>
        <w:t xml:space="preserve"> </w:t>
      </w:r>
      <w:bookmarkEnd w:id="3"/>
    </w:p>
    <w:p w14:paraId="56250339" w14:textId="77777777" w:rsidR="00647D4E" w:rsidRPr="00647D4E" w:rsidRDefault="00647D4E" w:rsidP="00647D4E">
      <w:pPr>
        <w:spacing w:after="0"/>
        <w:ind w:firstLine="720"/>
        <w:rPr>
          <w:rFonts w:ascii="Times New Roman" w:hAnsi="Times New Roman" w:cs="Times New Roman"/>
          <w:sz w:val="20"/>
          <w:szCs w:val="20"/>
        </w:rPr>
      </w:pPr>
      <w:r w:rsidRPr="00647D4E">
        <w:rPr>
          <w:rStyle w:val="unicode"/>
          <w:rFonts w:ascii="Times New Roman" w:hAnsi="Times New Roman" w:cs="Times New Roman"/>
          <w:sz w:val="20"/>
          <w:szCs w:val="20"/>
        </w:rPr>
        <w:t xml:space="preserve">Due to the large scatter in ages observed from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measurements along the elevation profile from Mt Murphy </w:t>
      </w:r>
      <w:r w:rsidRPr="00647D4E">
        <w:rPr>
          <w:rStyle w:val="unicode"/>
          <w:rFonts w:ascii="Times New Roman" w:hAnsi="Times New Roman" w:cs="Times New Roman"/>
          <w:sz w:val="20"/>
          <w:szCs w:val="20"/>
        </w:rPr>
        <w:fldChar w:fldCharType="begin" w:fldLock="1"/>
      </w:r>
      <w:r w:rsidRPr="00647D4E">
        <w:rPr>
          <w:rStyle w:val="unicode"/>
          <w:rFonts w:ascii="Times New Roman" w:hAnsi="Times New Roman" w:cs="Times New Roman"/>
          <w:sz w:val="20"/>
          <w:szCs w:val="20"/>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Antarctica","type":"article-journal","volume":"548"},"uris":["http://www.mendeley.com/documents/?uuid=3637f00b-c4e8-354b-8902-2ca54908c19b"]},{"id":"ITEM-2","itemData":{"abstract":"Cosmogenic-nuclide concentrations in subglacial bedrock cores show that the West Antarctic Ice Sheet (WAIS) at a site between Thwaites and Pope glaciers was at least 35 m thinner than present in the past several thousand years and then subsequently thickened. This is important because of concern that present thinning and grounding line retreat at these and nearby glaciers in the Amundsen Sea Embayment may irreversibly lead to deglaciation of significant portions of the WAIS, with decimeter- to meter-scale sea level rise within decades to centuries. A past episode of ice sheet thinning that took place in a similar, although not identical, climate was not irreversible. We propose that the past thinning– thickening cycle was due to a glacioisostatic rebound feedback, similar to that invoked as a possible stabilizing mechanism for current grounding line retreat, in which isostatic uplift caused by Early Holocene thinning led to relative sea level fall favoring grounding line advance.","author":[{"dropping-particle":"","family":"Balco","given":"Greg","non-dropping-particle":"","parse-names":false,"suffix":""},{"dropping-particle":"","family":"Brown","given":"Nathan","non-dropping-particle":"","parse-names":false,"suffix":""},{"dropping-particle":"","family":"Nichols","given":"Keir","non-dropping-particle":"","parse-names":false,"suffix":""},{"dropping-particle":"","family":"Venturelli","given":"Ryan A.","non-dropping-particle":"","parse-names":false,"suffix":""},{"dropping-particle":"","family":"Adams","given":"Jonathan","non-dropping-particle":"","parse-names":false,"suffix":""},{"dropping-particle":"","family":"Braddock","given":"Scott","non-dropping-particle":"","parse-names":false,"suffix":""},{"dropping-particle":"","family":"Campbell","given":"Seth","non-dropping-particle":"","parse-names":false,"suffix":""},{"dropping-particle":"","family":"Goehring","given":"Brent","non-dropping-particle":"","parse-names":false,"suffix":""},{"dropping-particle":"","family":"Johnson","given":"Joanne S.","non-dropping-particle":"","parse-names":false,"suffix":""},{"dropping-particle":"","family":"Rood","given":"Dylan H.","non-dropping-particle":"","parse-names":false,"suffix":""},{"dropping-particle":"","family":"Wilcken","given":"Klaus","non-dropping-particle":"","parse-names":false,"suffix":""},{"dropping-particle":"","family":"Hall","given":"Brenda","non-dropping-particle":"","parse-names":false,"suffix":""},{"dropping-particle":"","family":"Woodward","given":"John","non-dropping-particle":"","parse-names":false,"suffix":""}],"container-title":"The Cryosphere","id":"ITEM-2","issued":{"date-parts":[["2023"]]},"page":"1787-1801","title":"Reversible ice sheet thinning in the Amundsen Sea Embayment during the Late Holocene","type":"article-journal","volume":"17"},"uris":["http://www.mendeley.com/documents/?uuid=f452310a-f21c-342d-bbc8-0f42717159ea"]}],"mendeley":{"formattedCitation":"(Johnson et al., 2020; Balco et al., 2023)","plainTextFormattedCitation":"(Johnson et al., 2020; Balco et al., 2023)","previouslyFormattedCitation":"(Johnson et al., 2020; Balco et al., 2023)"},"properties":{"noteIndex":0},"schema":"https://github.com/citation-style-language/schema/raw/master/csl-citation.json"}</w:instrText>
      </w:r>
      <w:r w:rsidRPr="00647D4E">
        <w:rPr>
          <w:rStyle w:val="unicode"/>
          <w:rFonts w:ascii="Times New Roman" w:hAnsi="Times New Roman" w:cs="Times New Roman"/>
          <w:sz w:val="20"/>
          <w:szCs w:val="20"/>
        </w:rPr>
        <w:fldChar w:fldCharType="separate"/>
      </w:r>
      <w:r w:rsidRPr="00647D4E">
        <w:rPr>
          <w:rStyle w:val="unicode"/>
          <w:rFonts w:ascii="Times New Roman" w:hAnsi="Times New Roman" w:cs="Times New Roman"/>
          <w:noProof/>
          <w:sz w:val="20"/>
          <w:szCs w:val="20"/>
        </w:rPr>
        <w:t>(Johnson et al., 2020; Balco et al., 2023)</w:t>
      </w:r>
      <w:r w:rsidRPr="00647D4E">
        <w:rPr>
          <w:rStyle w:val="unicode"/>
          <w:rFonts w:ascii="Times New Roman" w:hAnsi="Times New Roman" w:cs="Times New Roman"/>
          <w:sz w:val="20"/>
          <w:szCs w:val="20"/>
        </w:rPr>
        <w:fldChar w:fldCharType="end"/>
      </w:r>
      <w:r w:rsidRPr="00647D4E">
        <w:rPr>
          <w:rStyle w:val="unicode"/>
          <w:rFonts w:ascii="Times New Roman" w:hAnsi="Times New Roman" w:cs="Times New Roman"/>
          <w:sz w:val="20"/>
          <w:szCs w:val="20"/>
        </w:rPr>
        <w:t xml:space="preserve">, we chose to compare in situ ¹⁴C and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Be scatter from the scoria cone and Kay Peak (see Fig. 1a). Using sites that are geographically proximal and at similar elevation minimises additional variation in non-paired exposure age measurements that can arise from inherent uncertainties in production rate scaling when comparing two nuclides.</w:t>
      </w:r>
      <w:bookmarkStart w:id="4" w:name="_Hlk170727151"/>
      <w:r w:rsidRPr="00647D4E">
        <w:rPr>
          <w:rFonts w:ascii="Times New Roman" w:hAnsi="Times New Roman" w:cs="Times New Roman"/>
          <w:sz w:val="20"/>
          <w:szCs w:val="20"/>
        </w:rPr>
        <w:t xml:space="preserve"> </w:t>
      </w:r>
      <w:r w:rsidRPr="00647D4E">
        <w:rPr>
          <w:rStyle w:val="unicode"/>
          <w:rFonts w:ascii="Times New Roman" w:hAnsi="Times New Roman" w:cs="Times New Roman"/>
          <w:sz w:val="20"/>
          <w:szCs w:val="20"/>
        </w:rPr>
        <w:t xml:space="preserve">We calculated the error </w:t>
      </w:r>
      <w:proofErr w:type="gramStart"/>
      <w:r w:rsidRPr="00647D4E">
        <w:rPr>
          <w:rStyle w:val="unicode"/>
          <w:rFonts w:ascii="Times New Roman" w:hAnsi="Times New Roman" w:cs="Times New Roman"/>
          <w:sz w:val="20"/>
          <w:szCs w:val="20"/>
        </w:rPr>
        <w:t>in excess of</w:t>
      </w:r>
      <w:proofErr w:type="gramEnd"/>
      <w:r w:rsidRPr="00647D4E">
        <w:rPr>
          <w:rStyle w:val="unicode"/>
          <w:rFonts w:ascii="Times New Roman" w:hAnsi="Times New Roman" w:cs="Times New Roman"/>
          <w:sz w:val="20"/>
          <w:szCs w:val="20"/>
        </w:rPr>
        <w:t xml:space="preserve"> analytical uncertainty separately for both the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 xml:space="preserve">Be dataset from scoria cone and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dataset from Kay Peak using the following steps. First we performed a linear regression analyses of the age vs elevation distribution of the exposure ages to obtain the residuals of the least squared fit to the dataset </w:t>
      </w:r>
      <w:r w:rsidRPr="00647D4E">
        <w:rPr>
          <w:rFonts w:ascii="Times New Roman" w:hAnsi="Times New Roman" w:cs="Times New Roman"/>
          <w:sz w:val="20"/>
          <w:szCs w:val="20"/>
        </w:rPr>
        <w:fldChar w:fldCharType="begin" w:fldLock="1"/>
      </w:r>
      <w:r w:rsidRPr="00647D4E">
        <w:rPr>
          <w:rFonts w:ascii="Times New Roman" w:hAnsi="Times New Roman" w:cs="Times New Roman"/>
          <w:sz w:val="20"/>
          <w:szCs w:val="20"/>
        </w:rPr>
        <w:instrText>ADDIN CSL_CITATION {"citationItems":[{"id":"ITEM-1","itemData":{"ISBN":"0072472278","author":[{"dropping-particle":"","family":"Bevington","given":"P","non-dropping-particle":"","parse-names":false,"suffix":""},{"dropping-particle":"","family":"Robinson","given":"D","non-dropping-particle":"","parse-names":false,"suffix":""}],"edition":"3rd Editio","editor":[{"dropping-particle":"","family":"Bruflodt","given":"Daryl","non-dropping-particle":"","parse-names":false,"suffix":""},{"dropping-particle":"","family":"Cotkin","given":"Spencer. J","non-dropping-particle":"","parse-names":false,"suffix":""}],"id":"ITEM-1","issued":{"date-parts":[["1993"]]},"number-of-pages":"1 - 313","publisher":"McGraw Hill","publisher-place":"New York","title":"Data reduction and error analysis for the physical sciences","type":"book"},"uris":["http://www.mendeley.com/documents/?uuid=b35523cc-c4c9-4f52-af86-092b49bee49b"]}],"mendeley":{"formattedCitation":"(Bevington and Robinson, 1993)","plainTextFormattedCitation":"(Bevington and Robinson, 1993)","previouslyFormattedCitation":"(Bevington and Robinson, 1993)"},"properties":{"noteIndex":0},"schema":"https://github.com/citation-style-language/schema/raw/master/csl-citation.json"}</w:instrText>
      </w:r>
      <w:r w:rsidRPr="00647D4E">
        <w:rPr>
          <w:rFonts w:ascii="Times New Roman" w:hAnsi="Times New Roman" w:cs="Times New Roman"/>
          <w:sz w:val="20"/>
          <w:szCs w:val="20"/>
        </w:rPr>
        <w:fldChar w:fldCharType="separate"/>
      </w:r>
      <w:r w:rsidRPr="00647D4E">
        <w:rPr>
          <w:rFonts w:ascii="Times New Roman" w:hAnsi="Times New Roman" w:cs="Times New Roman"/>
          <w:noProof/>
          <w:sz w:val="20"/>
          <w:szCs w:val="20"/>
        </w:rPr>
        <w:t>(Bevington and Robinson, 1993)</w:t>
      </w:r>
      <w:r w:rsidRPr="00647D4E">
        <w:rPr>
          <w:rFonts w:ascii="Times New Roman" w:hAnsi="Times New Roman" w:cs="Times New Roman"/>
          <w:sz w:val="20"/>
          <w:szCs w:val="20"/>
        </w:rPr>
        <w:fldChar w:fldCharType="end"/>
      </w:r>
      <w:r w:rsidRPr="00647D4E">
        <w:rPr>
          <w:rStyle w:val="unicode"/>
          <w:rFonts w:ascii="Times New Roman" w:hAnsi="Times New Roman" w:cs="Times New Roman"/>
          <w:sz w:val="20"/>
          <w:szCs w:val="20"/>
        </w:rPr>
        <w:t xml:space="preserve">. We then performed a bootstrap uncertainty analysis by resampling (sampling with replacement) the residuals </w:t>
      </w:r>
      <w:r w:rsidRPr="00647D4E">
        <w:rPr>
          <w:rFonts w:ascii="Times New Roman" w:hAnsi="Times New Roman" w:cs="Times New Roman"/>
          <w:sz w:val="20"/>
          <w:szCs w:val="20"/>
        </w:rPr>
        <w:t>determined from the original linear regression model. We fit a new regression model to the resampled data, resampling the original dataset 1000 times.</w:t>
      </w:r>
      <w:r w:rsidRPr="00647D4E">
        <w:rPr>
          <w:rStyle w:val="unicode"/>
          <w:rFonts w:ascii="Times New Roman" w:hAnsi="Times New Roman" w:cs="Times New Roman"/>
          <w:sz w:val="20"/>
          <w:szCs w:val="20"/>
        </w:rPr>
        <w:t xml:space="preserve"> We then calculated </w:t>
      </w:r>
      <w:r w:rsidRPr="00647D4E">
        <w:rPr>
          <w:rFonts w:ascii="Times New Roman" w:hAnsi="Times New Roman" w:cs="Times New Roman"/>
          <w:sz w:val="20"/>
          <w:szCs w:val="20"/>
        </w:rPr>
        <w:t>the excess scatter in our dataset using the standard deviation of the distribution of regression models determined from resampled residuals</w:t>
      </w:r>
      <w:bookmarkEnd w:id="4"/>
      <w:r w:rsidRPr="00647D4E">
        <w:rPr>
          <w:rFonts w:ascii="Times New Roman" w:hAnsi="Times New Roman" w:cs="Times New Roman"/>
          <w:sz w:val="20"/>
          <w:szCs w:val="20"/>
        </w:rPr>
        <w:t>.</w:t>
      </w:r>
    </w:p>
    <w:p w14:paraId="64F98DAD" w14:textId="77777777" w:rsidR="00647D4E" w:rsidRPr="00647D4E" w:rsidRDefault="00647D4E" w:rsidP="00647D4E">
      <w:pPr>
        <w:spacing w:after="0"/>
        <w:ind w:firstLine="720"/>
        <w:rPr>
          <w:rStyle w:val="unicode"/>
          <w:rFonts w:ascii="Times New Roman" w:hAnsi="Times New Roman" w:cs="Times New Roman"/>
          <w:sz w:val="20"/>
          <w:szCs w:val="20"/>
        </w:rPr>
      </w:pPr>
      <w:r w:rsidRPr="00647D4E">
        <w:rPr>
          <w:rStyle w:val="unicode"/>
          <w:rFonts w:ascii="Times New Roman" w:hAnsi="Times New Roman" w:cs="Times New Roman"/>
          <w:sz w:val="20"/>
          <w:szCs w:val="20"/>
        </w:rPr>
        <w:t xml:space="preserve">We omitted three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 xml:space="preserve">Be exposure ages from erratic cobbles from Kay Peak that are all &gt; ~10 ka from the statistical analysis because the original study identified inheritance in those samples (Johnson et al., 2020). We did not omit any of the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ages from statistical analysis because all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exposure ages postdate the onset of the Holocene (&lt; 11.7 ka), indicating a negligible amount of nuclide inheritance. We then calculated the additional error </w:t>
      </w:r>
      <w:proofErr w:type="gramStart"/>
      <w:r w:rsidRPr="00647D4E">
        <w:rPr>
          <w:rStyle w:val="unicode"/>
          <w:rFonts w:ascii="Times New Roman" w:hAnsi="Times New Roman" w:cs="Times New Roman"/>
          <w:sz w:val="20"/>
          <w:szCs w:val="20"/>
        </w:rPr>
        <w:t>in excess of</w:t>
      </w:r>
      <w:proofErr w:type="gramEnd"/>
      <w:r w:rsidRPr="00647D4E">
        <w:rPr>
          <w:rStyle w:val="unicode"/>
          <w:rFonts w:ascii="Times New Roman" w:hAnsi="Times New Roman" w:cs="Times New Roman"/>
          <w:sz w:val="20"/>
          <w:szCs w:val="20"/>
        </w:rPr>
        <w:t xml:space="preserve"> AMS measurement uncertainty for both the in situ ¹⁴C sample set and the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Be sample set using the following equation:</w:t>
      </w:r>
    </w:p>
    <w:p w14:paraId="54BD1C3C" w14:textId="77777777" w:rsidR="00647D4E" w:rsidRPr="00647D4E" w:rsidRDefault="00647D4E" w:rsidP="00647D4E">
      <w:pPr>
        <w:rPr>
          <w:rStyle w:val="unicode"/>
          <w:rFonts w:ascii="Times New Roman" w:hAnsi="Times New Roman" w:cs="Times New Roman"/>
          <w:sz w:val="20"/>
          <w:szCs w:val="20"/>
        </w:rPr>
      </w:pPr>
    </w:p>
    <w:p w14:paraId="3A19D668" w14:textId="3786DF05" w:rsidR="00647D4E" w:rsidRPr="00647D4E" w:rsidRDefault="00647D4E" w:rsidP="00647D4E">
      <w:pPr>
        <w:rPr>
          <w:rStyle w:val="unicode"/>
          <w:rFonts w:ascii="Times New Roman" w:hAnsi="Times New Roman" w:cs="Times New Roman"/>
          <w:sz w:val="20"/>
          <w:szCs w:val="20"/>
        </w:rPr>
      </w:pPr>
      <m:oMath>
        <m:r>
          <w:rPr>
            <w:rStyle w:val="unicode"/>
            <w:rFonts w:ascii="Cambria Math" w:hAnsi="Cambria Math" w:cs="Times New Roman"/>
            <w:sz w:val="20"/>
            <w:szCs w:val="20"/>
          </w:rPr>
          <m:t>Excess Uncertainty=</m:t>
        </m:r>
        <m:d>
          <m:dPr>
            <m:ctrlPr>
              <w:rPr>
                <w:rStyle w:val="unicode"/>
                <w:rFonts w:ascii="Cambria Math" w:hAnsi="Cambria Math" w:cs="Times New Roman"/>
                <w:i/>
                <w:sz w:val="20"/>
                <w:szCs w:val="20"/>
              </w:rPr>
            </m:ctrlPr>
          </m:dPr>
          <m:e>
            <m:sSup>
              <m:sSupPr>
                <m:ctrlPr>
                  <w:rPr>
                    <w:rStyle w:val="unicode"/>
                    <w:rFonts w:ascii="Cambria Math" w:hAnsi="Cambria Math" w:cs="Times New Roman"/>
                    <w:sz w:val="20"/>
                    <w:szCs w:val="20"/>
                  </w:rPr>
                </m:ctrlPr>
              </m:sSupPr>
              <m:e>
                <m:r>
                  <w:rPr>
                    <w:rStyle w:val="unicode"/>
                    <w:rFonts w:ascii="Cambria Math" w:hAnsi="Cambria Math" w:cs="Times New Roman"/>
                    <w:sz w:val="20"/>
                    <w:szCs w:val="20"/>
                  </w:rPr>
                  <m:t>S</m:t>
                </m:r>
              </m:e>
              <m:sup>
                <m:r>
                  <w:rPr>
                    <w:rStyle w:val="unicode"/>
                    <w:rFonts w:ascii="Cambria Math" w:hAnsi="Cambria Math" w:cs="Times New Roman"/>
                    <w:sz w:val="20"/>
                    <w:szCs w:val="20"/>
                  </w:rPr>
                  <m:t>2</m:t>
                </m:r>
              </m:sup>
            </m:sSup>
          </m:e>
        </m:d>
        <m:r>
          <w:rPr>
            <w:rStyle w:val="unicode"/>
            <w:rFonts w:ascii="Cambria Math" w:hAnsi="Cambria Math" w:cs="Times New Roman"/>
            <w:sz w:val="20"/>
            <w:szCs w:val="20"/>
          </w:rPr>
          <m:t>-(</m:t>
        </m:r>
        <m:sSup>
          <m:sSupPr>
            <m:ctrlPr>
              <w:rPr>
                <w:rStyle w:val="unicode"/>
                <w:rFonts w:ascii="Cambria Math" w:hAnsi="Cambria Math" w:cs="Times New Roman"/>
                <w:i/>
                <w:sz w:val="20"/>
                <w:szCs w:val="20"/>
              </w:rPr>
            </m:ctrlPr>
          </m:sSupPr>
          <m:e>
            <m:r>
              <w:rPr>
                <w:rStyle w:val="unicode"/>
                <w:rFonts w:ascii="Cambria Math" w:hAnsi="Cambria Math" w:cs="Times New Roman"/>
                <w:sz w:val="20"/>
                <w:szCs w:val="20"/>
              </w:rPr>
              <m:t>x̅σ</m:t>
            </m:r>
          </m:e>
          <m:sup>
            <m:r>
              <w:rPr>
                <w:rStyle w:val="unicode"/>
                <w:rFonts w:ascii="Cambria Math" w:hAnsi="Cambria Math" w:cs="Times New Roman"/>
                <w:sz w:val="20"/>
                <w:szCs w:val="20"/>
              </w:rPr>
              <m:t>2</m:t>
            </m:r>
          </m:sup>
        </m:sSup>
        <m:r>
          <w:rPr>
            <w:rStyle w:val="unicode"/>
            <w:rFonts w:ascii="Cambria Math" w:hAnsi="Cambria Math" w:cs="Times New Roman"/>
            <w:sz w:val="20"/>
            <w:szCs w:val="20"/>
          </w:rPr>
          <m:t>)</m:t>
        </m:r>
      </m:oMath>
      <w:r w:rsidRPr="00647D4E">
        <w:rPr>
          <w:rStyle w:val="unicode"/>
          <w:rFonts w:ascii="Times New Roman" w:hAnsi="Times New Roman" w:cs="Times New Roman"/>
          <w:sz w:val="20"/>
          <w:szCs w:val="20"/>
        </w:rPr>
        <w:t xml:space="preserve">                                                                                                                         Eq. 3.1 </w:t>
      </w:r>
    </w:p>
    <w:p w14:paraId="1687429C" w14:textId="77777777" w:rsidR="00647D4E" w:rsidRDefault="00647D4E" w:rsidP="00647D4E">
      <w:pPr>
        <w:spacing w:after="0"/>
        <w:ind w:firstLine="720"/>
        <w:rPr>
          <w:rStyle w:val="unicode"/>
          <w:rFonts w:ascii="Times New Roman" w:hAnsi="Times New Roman" w:cs="Times New Roman"/>
          <w:sz w:val="20"/>
          <w:szCs w:val="20"/>
        </w:rPr>
      </w:pPr>
      <w:r w:rsidRPr="00647D4E">
        <w:rPr>
          <w:rStyle w:val="unicode"/>
          <w:rFonts w:ascii="Times New Roman" w:hAnsi="Times New Roman" w:cs="Times New Roman"/>
          <w:sz w:val="20"/>
          <w:szCs w:val="20"/>
        </w:rPr>
        <w:t xml:space="preserve">where </w:t>
      </w:r>
      <w:r w:rsidRPr="00647D4E">
        <w:rPr>
          <w:rStyle w:val="unicode"/>
          <w:rFonts w:ascii="Times New Roman" w:hAnsi="Times New Roman" w:cs="Times New Roman"/>
          <w:i/>
          <w:iCs/>
          <w:sz w:val="20"/>
          <w:szCs w:val="20"/>
        </w:rPr>
        <w:t>S</w:t>
      </w:r>
      <w:r w:rsidRPr="00647D4E">
        <w:rPr>
          <w:rStyle w:val="unicode"/>
          <w:rFonts w:ascii="Times New Roman" w:hAnsi="Times New Roman" w:cs="Times New Roman"/>
          <w:sz w:val="20"/>
          <w:szCs w:val="20"/>
        </w:rPr>
        <w:t xml:space="preserve"> denotes the standard deviation of the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or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 xml:space="preserve">Be residuals, i.e., total scatter in each respective dataset (in years) and </w:t>
      </w:r>
      <w:proofErr w:type="spellStart"/>
      <w:r w:rsidRPr="00647D4E">
        <w:rPr>
          <w:rStyle w:val="unicode"/>
          <w:rFonts w:ascii="Times New Roman" w:hAnsi="Times New Roman" w:cs="Times New Roman"/>
          <w:i/>
          <w:iCs/>
          <w:sz w:val="20"/>
          <w:szCs w:val="20"/>
        </w:rPr>
        <w:t>x̅σ</w:t>
      </w:r>
      <w:proofErr w:type="spellEnd"/>
      <w:r w:rsidRPr="00647D4E">
        <w:rPr>
          <w:rStyle w:val="unicode"/>
          <w:rFonts w:ascii="Times New Roman" w:hAnsi="Times New Roman" w:cs="Times New Roman"/>
          <w:i/>
          <w:iCs/>
          <w:sz w:val="20"/>
          <w:szCs w:val="20"/>
        </w:rPr>
        <w:t xml:space="preserve"> </w:t>
      </w:r>
      <w:r w:rsidRPr="00647D4E">
        <w:rPr>
          <w:rStyle w:val="unicode"/>
          <w:rFonts w:ascii="Times New Roman" w:hAnsi="Times New Roman" w:cs="Times New Roman"/>
          <w:sz w:val="20"/>
          <w:szCs w:val="20"/>
        </w:rPr>
        <w:t xml:space="preserve">refers to the average analytical uncertainty of the collective in situ ¹⁴C or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Be exposure ages in each respective sample set (also in years).</w:t>
      </w:r>
      <w:bookmarkStart w:id="5" w:name="_Toc130336082"/>
      <w:bookmarkStart w:id="6" w:name="_Toc157690822"/>
      <w:bookmarkStart w:id="7" w:name="_Toc171166674"/>
    </w:p>
    <w:p w14:paraId="5D1C2F20" w14:textId="77777777" w:rsidR="00647D4E" w:rsidRDefault="00647D4E" w:rsidP="00647D4E">
      <w:pPr>
        <w:rPr>
          <w:rStyle w:val="unicode"/>
          <w:rFonts w:ascii="Times New Roman" w:hAnsi="Times New Roman" w:cs="Times New Roman"/>
          <w:sz w:val="20"/>
          <w:szCs w:val="20"/>
        </w:rPr>
      </w:pPr>
    </w:p>
    <w:p w14:paraId="74A24CB8" w14:textId="337FB820" w:rsidR="00647D4E" w:rsidRPr="00647D4E" w:rsidRDefault="00647D4E" w:rsidP="00647D4E">
      <w:pPr>
        <w:rPr>
          <w:rFonts w:ascii="Times New Roman" w:hAnsi="Times New Roman" w:cs="Times New Roman"/>
          <w:b/>
          <w:bCs/>
          <w:sz w:val="20"/>
          <w:szCs w:val="20"/>
        </w:rPr>
      </w:pPr>
      <w:r w:rsidRPr="00647D4E">
        <w:rPr>
          <w:rFonts w:ascii="Times New Roman" w:hAnsi="Times New Roman" w:cs="Times New Roman"/>
          <w:b/>
          <w:bCs/>
          <w:sz w:val="20"/>
          <w:szCs w:val="20"/>
        </w:rPr>
        <w:t xml:space="preserve">In situ </w:t>
      </w:r>
      <w:r w:rsidRPr="00647D4E">
        <w:rPr>
          <w:rFonts w:ascii="Times New Roman" w:hAnsi="Times New Roman" w:cs="Times New Roman"/>
          <w:b/>
          <w:bCs/>
          <w:sz w:val="20"/>
          <w:szCs w:val="20"/>
          <w:vertAlign w:val="superscript"/>
        </w:rPr>
        <w:t>14</w:t>
      </w:r>
      <w:r w:rsidRPr="00647D4E">
        <w:rPr>
          <w:rFonts w:ascii="Times New Roman" w:hAnsi="Times New Roman" w:cs="Times New Roman"/>
          <w:b/>
          <w:bCs/>
          <w:sz w:val="20"/>
          <w:szCs w:val="20"/>
        </w:rPr>
        <w:t xml:space="preserve">C and </w:t>
      </w:r>
      <w:r w:rsidRPr="00647D4E">
        <w:rPr>
          <w:rFonts w:ascii="Times New Roman" w:hAnsi="Times New Roman" w:cs="Times New Roman"/>
          <w:b/>
          <w:bCs/>
          <w:sz w:val="20"/>
          <w:szCs w:val="20"/>
          <w:vertAlign w:val="superscript"/>
        </w:rPr>
        <w:t>10</w:t>
      </w:r>
      <w:r w:rsidRPr="00647D4E">
        <w:rPr>
          <w:rFonts w:ascii="Times New Roman" w:hAnsi="Times New Roman" w:cs="Times New Roman"/>
          <w:b/>
          <w:bCs/>
          <w:sz w:val="20"/>
          <w:szCs w:val="20"/>
        </w:rPr>
        <w:t>Be bootstrapping results</w:t>
      </w:r>
      <w:bookmarkEnd w:id="5"/>
      <w:r w:rsidRPr="00647D4E">
        <w:rPr>
          <w:rFonts w:ascii="Times New Roman" w:hAnsi="Times New Roman" w:cs="Times New Roman"/>
          <w:b/>
          <w:bCs/>
          <w:sz w:val="20"/>
          <w:szCs w:val="20"/>
        </w:rPr>
        <w:t xml:space="preserve"> from Mt Murphy</w:t>
      </w:r>
      <w:bookmarkEnd w:id="6"/>
      <w:bookmarkEnd w:id="7"/>
    </w:p>
    <w:p w14:paraId="6976E2E6" w14:textId="77777777" w:rsidR="00647D4E" w:rsidRDefault="00647D4E" w:rsidP="00647D4E">
      <w:pPr>
        <w:spacing w:after="0"/>
        <w:ind w:firstLine="720"/>
        <w:rPr>
          <w:rStyle w:val="unicode"/>
          <w:rFonts w:ascii="Times New Roman" w:hAnsi="Times New Roman" w:cs="Times New Roman"/>
          <w:sz w:val="20"/>
          <w:szCs w:val="20"/>
        </w:rPr>
      </w:pPr>
      <w:r w:rsidRPr="00647D4E">
        <w:rPr>
          <w:rFonts w:ascii="Times New Roman" w:hAnsi="Times New Roman" w:cs="Times New Roman"/>
          <w:sz w:val="20"/>
          <w:szCs w:val="20"/>
        </w:rPr>
        <w:t>We now compare results from our statistical analysis of scoria cone and Kay Peak exposure age datasets. The</w:t>
      </w:r>
      <w:r w:rsidRPr="00647D4E">
        <w:rPr>
          <w:rStyle w:val="unicode"/>
          <w:rFonts w:ascii="Times New Roman" w:hAnsi="Times New Roman" w:cs="Times New Roman"/>
          <w:sz w:val="20"/>
          <w:szCs w:val="20"/>
        </w:rPr>
        <w:t xml:space="preserve"> in situ ¹⁴C derived line of best fit indicates deglaciation began at 7.1 ka (uncovering of surfaces at 350 m a. s. l.) and surfaces at 125 m a. s. l. were uncovered by 6.1 ka (Fig. 5). The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 xml:space="preserve">Be-derived line of best fit indicates that deglaciation (uncovering surfaces at 350 m a. s. l.) began slightly earlier, at 8.3 ka, with surfaces at 125 m a. s. l. uncovered slightly later, at 5.7 ka. The age range for deglaciation is similar for the two datasets and the data broadly follow the same linear trend (Fig. 6). This similarity strongly suggests that an accurate chronology is being achieved with both nuclides at this site, and there is minimal inheritance in the samples. At 95 % confidence, the degree of scatter of the in situ </w:t>
      </w:r>
      <w:r w:rsidRPr="00647D4E">
        <w:rPr>
          <w:rStyle w:val="unicode"/>
          <w:rFonts w:ascii="Times New Roman" w:hAnsi="Times New Roman" w:cs="Times New Roman"/>
          <w:sz w:val="20"/>
          <w:szCs w:val="20"/>
          <w:vertAlign w:val="superscript"/>
        </w:rPr>
        <w:t>14</w:t>
      </w:r>
      <w:r w:rsidRPr="00647D4E">
        <w:rPr>
          <w:rStyle w:val="unicode"/>
          <w:rFonts w:ascii="Times New Roman" w:hAnsi="Times New Roman" w:cs="Times New Roman"/>
          <w:sz w:val="20"/>
          <w:szCs w:val="20"/>
        </w:rPr>
        <w:t xml:space="preserve">C dataset (Fig. 6a) is greater than the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Be dataset (Fig. 6b).</w:t>
      </w:r>
    </w:p>
    <w:p w14:paraId="114D459D" w14:textId="245AED58" w:rsidR="00647D4E" w:rsidRPr="004A5D32" w:rsidRDefault="00647D4E" w:rsidP="004A5D32">
      <w:pPr>
        <w:spacing w:after="0"/>
        <w:ind w:firstLine="720"/>
        <w:rPr>
          <w:rFonts w:ascii="Times New Roman" w:hAnsi="Times New Roman" w:cs="Times New Roman"/>
          <w:sz w:val="20"/>
          <w:szCs w:val="20"/>
        </w:rPr>
      </w:pPr>
      <w:r w:rsidRPr="00647D4E">
        <w:rPr>
          <w:rFonts w:ascii="Times New Roman" w:hAnsi="Times New Roman" w:cs="Times New Roman"/>
          <w:sz w:val="20"/>
          <w:szCs w:val="20"/>
        </w:rPr>
        <w:t xml:space="preserve">The in situ ¹⁴C sample set (n = 20) has a residual standard deviation of 1957 years and the </w:t>
      </w:r>
      <w:r w:rsidRPr="00647D4E">
        <w:rPr>
          <w:rFonts w:ascii="Times New Roman" w:hAnsi="Times New Roman" w:cs="Times New Roman"/>
          <w:color w:val="000000" w:themeColor="text1"/>
          <w:sz w:val="20"/>
          <w:szCs w:val="20"/>
          <w:vertAlign w:val="superscript"/>
          <w:lang w:eastAsia="en-GB"/>
        </w:rPr>
        <w:t>10</w:t>
      </w:r>
      <w:r w:rsidRPr="00647D4E">
        <w:rPr>
          <w:rFonts w:ascii="Times New Roman" w:hAnsi="Times New Roman" w:cs="Times New Roman"/>
          <w:color w:val="000000" w:themeColor="text1"/>
          <w:sz w:val="20"/>
          <w:szCs w:val="20"/>
          <w:lang w:eastAsia="en-GB"/>
        </w:rPr>
        <w:t xml:space="preserve">Be </w:t>
      </w:r>
      <w:r w:rsidRPr="00647D4E">
        <w:rPr>
          <w:rFonts w:ascii="Times New Roman" w:hAnsi="Times New Roman" w:cs="Times New Roman"/>
          <w:sz w:val="20"/>
          <w:szCs w:val="20"/>
          <w:lang w:eastAsia="en-GB"/>
        </w:rPr>
        <w:t xml:space="preserve">sample set has a residual standard deviation of </w:t>
      </w:r>
      <w:r w:rsidRPr="00647D4E">
        <w:rPr>
          <w:rFonts w:ascii="Times New Roman" w:hAnsi="Times New Roman" w:cs="Times New Roman"/>
          <w:color w:val="000000" w:themeColor="text1"/>
          <w:sz w:val="20"/>
          <w:szCs w:val="20"/>
          <w:lang w:eastAsia="en-GB"/>
        </w:rPr>
        <w:t>225 years</w:t>
      </w:r>
      <w:r w:rsidRPr="00647D4E">
        <w:rPr>
          <w:rFonts w:ascii="Times New Roman" w:hAnsi="Times New Roman" w:cs="Times New Roman"/>
          <w:sz w:val="20"/>
          <w:szCs w:val="20"/>
          <w:lang w:eastAsia="en-GB"/>
        </w:rPr>
        <w:t xml:space="preserve"> (n = 12) (Table 2). </w:t>
      </w:r>
      <w:r w:rsidRPr="00647D4E">
        <w:rPr>
          <w:rFonts w:ascii="Times New Roman" w:hAnsi="Times New Roman" w:cs="Times New Roman"/>
          <w:sz w:val="20"/>
          <w:szCs w:val="20"/>
        </w:rPr>
        <w:t xml:space="preserve">The average internal uncertainty of the in situ ¹⁴C exposure ages is 641 years, whilst the average internal uncertainty of the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exposure ages is 222 years. </w:t>
      </w:r>
      <w:r w:rsidRPr="00647D4E">
        <w:rPr>
          <w:rStyle w:val="unicode"/>
          <w:rFonts w:ascii="Times New Roman" w:hAnsi="Times New Roman" w:cs="Times New Roman"/>
          <w:sz w:val="20"/>
          <w:szCs w:val="20"/>
        </w:rPr>
        <w:t xml:space="preserve">The unquantified uncertainty remaining from scatter in the in situ ¹⁴C exposure age dataset is 1849 years, this is considerably larger than the excess uncertainty for the </w:t>
      </w:r>
      <w:r w:rsidRPr="00647D4E">
        <w:rPr>
          <w:rStyle w:val="unicode"/>
          <w:rFonts w:ascii="Times New Roman" w:hAnsi="Times New Roman" w:cs="Times New Roman"/>
          <w:sz w:val="20"/>
          <w:szCs w:val="20"/>
          <w:vertAlign w:val="superscript"/>
        </w:rPr>
        <w:t>10</w:t>
      </w:r>
      <w:r w:rsidRPr="00647D4E">
        <w:rPr>
          <w:rStyle w:val="unicode"/>
          <w:rFonts w:ascii="Times New Roman" w:hAnsi="Times New Roman" w:cs="Times New Roman"/>
          <w:sz w:val="20"/>
          <w:szCs w:val="20"/>
        </w:rPr>
        <w:t>Be exposure ages (37 years) and suggests additional uncertainty beyond stated analytical uncertainties is contributing towards increased scatter visible in the in situ ¹⁴C dataset.</w:t>
      </w:r>
    </w:p>
    <w:p w14:paraId="5C74485D" w14:textId="77777777" w:rsidR="00647D4E" w:rsidRDefault="00647D4E" w:rsidP="00647D4E">
      <w:pPr>
        <w:rPr>
          <w:rFonts w:ascii="Times New Roman" w:hAnsi="Times New Roman" w:cs="Times New Roman"/>
          <w:b/>
          <w:bCs/>
          <w:sz w:val="20"/>
          <w:szCs w:val="20"/>
        </w:rPr>
      </w:pPr>
    </w:p>
    <w:p w14:paraId="30185FA2" w14:textId="77777777" w:rsidR="004A5D32" w:rsidRDefault="004A5D32" w:rsidP="00647D4E">
      <w:pPr>
        <w:rPr>
          <w:rFonts w:ascii="Times New Roman" w:hAnsi="Times New Roman" w:cs="Times New Roman"/>
          <w:b/>
          <w:bCs/>
          <w:sz w:val="20"/>
          <w:szCs w:val="20"/>
        </w:rPr>
      </w:pPr>
    </w:p>
    <w:p w14:paraId="0F07D1A2" w14:textId="77777777" w:rsidR="004A5D32" w:rsidRDefault="004A5D32" w:rsidP="00647D4E">
      <w:pPr>
        <w:rPr>
          <w:rFonts w:ascii="Times New Roman" w:hAnsi="Times New Roman" w:cs="Times New Roman"/>
          <w:b/>
          <w:bCs/>
          <w:sz w:val="20"/>
          <w:szCs w:val="20"/>
        </w:rPr>
      </w:pPr>
    </w:p>
    <w:p w14:paraId="36B43EE0" w14:textId="77777777" w:rsidR="004A5D32" w:rsidRDefault="004A5D32" w:rsidP="00647D4E">
      <w:pPr>
        <w:rPr>
          <w:rFonts w:ascii="Times New Roman" w:hAnsi="Times New Roman" w:cs="Times New Roman"/>
          <w:b/>
          <w:bCs/>
          <w:sz w:val="20"/>
          <w:szCs w:val="20"/>
        </w:rPr>
      </w:pPr>
    </w:p>
    <w:p w14:paraId="7853A272" w14:textId="77777777" w:rsidR="00B24846" w:rsidRPr="00647D4E" w:rsidRDefault="00B24846" w:rsidP="00647D4E">
      <w:pPr>
        <w:rPr>
          <w:rFonts w:ascii="Times New Roman" w:hAnsi="Times New Roman" w:cs="Times New Roman"/>
          <w:b/>
          <w:bCs/>
          <w:sz w:val="20"/>
          <w:szCs w:val="20"/>
        </w:rPr>
      </w:pPr>
    </w:p>
    <w:p w14:paraId="7408F7B1" w14:textId="7D9D4905" w:rsidR="00647D4E" w:rsidRPr="00647D4E" w:rsidRDefault="00647D4E" w:rsidP="00647D4E">
      <w:pPr>
        <w:spacing w:line="240" w:lineRule="auto"/>
        <w:rPr>
          <w:rFonts w:ascii="Times New Roman" w:hAnsi="Times New Roman" w:cs="Times New Roman"/>
          <w:sz w:val="20"/>
          <w:szCs w:val="20"/>
        </w:rPr>
      </w:pPr>
      <w:r w:rsidRPr="00647D4E">
        <w:rPr>
          <w:rFonts w:ascii="Times New Roman" w:hAnsi="Times New Roman" w:cs="Times New Roman"/>
          <w:b/>
          <w:bCs/>
          <w:sz w:val="20"/>
          <w:szCs w:val="20"/>
        </w:rPr>
        <w:lastRenderedPageBreak/>
        <w:t xml:space="preserve">Table </w:t>
      </w:r>
      <w:r w:rsidR="004A5D32">
        <w:rPr>
          <w:rFonts w:ascii="Times New Roman" w:hAnsi="Times New Roman" w:cs="Times New Roman"/>
          <w:b/>
          <w:bCs/>
          <w:sz w:val="20"/>
          <w:szCs w:val="20"/>
        </w:rPr>
        <w:t>S4</w:t>
      </w:r>
      <w:r w:rsidRPr="00647D4E">
        <w:rPr>
          <w:rFonts w:ascii="Times New Roman" w:hAnsi="Times New Roman" w:cs="Times New Roman"/>
          <w:b/>
          <w:bCs/>
          <w:sz w:val="20"/>
          <w:szCs w:val="20"/>
        </w:rPr>
        <w:t xml:space="preserve">: </w:t>
      </w:r>
      <w:r w:rsidRPr="00647D4E">
        <w:rPr>
          <w:rFonts w:ascii="Times New Roman" w:hAnsi="Times New Roman" w:cs="Times New Roman"/>
          <w:sz w:val="20"/>
          <w:szCs w:val="20"/>
        </w:rPr>
        <w:t xml:space="preserve">Summary statistics of bootstrapping results of in situ </w:t>
      </w:r>
      <w:r w:rsidRPr="00647D4E">
        <w:rPr>
          <w:rFonts w:ascii="Times New Roman" w:hAnsi="Times New Roman" w:cs="Times New Roman"/>
          <w:sz w:val="20"/>
          <w:szCs w:val="20"/>
          <w:vertAlign w:val="superscript"/>
        </w:rPr>
        <w:t>14</w:t>
      </w:r>
      <w:r w:rsidRPr="00647D4E">
        <w:rPr>
          <w:rFonts w:ascii="Times New Roman" w:hAnsi="Times New Roman" w:cs="Times New Roman"/>
          <w:sz w:val="20"/>
          <w:szCs w:val="20"/>
        </w:rPr>
        <w:t xml:space="preserve">C derived exposure ages (n =20) compared to summary statistics of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Kay derived exposure ages (n = 12) from Kay Peak and scoria cone sites. The purpose of the statistical analysis is to identify unquantified sources of uncertainty.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inheritance is a known contributor to scatter in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measurements so any samples strongly suspected of contributing scatter to the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dataset due to inheritance have been removed. </w:t>
      </w:r>
    </w:p>
    <w:tbl>
      <w:tblPr>
        <w:tblW w:w="9522" w:type="dxa"/>
        <w:tblInd w:w="108" w:type="dxa"/>
        <w:tblLook w:val="04A0" w:firstRow="1" w:lastRow="0" w:firstColumn="1" w:lastColumn="0" w:noHBand="0" w:noVBand="1"/>
      </w:tblPr>
      <w:tblGrid>
        <w:gridCol w:w="3578"/>
        <w:gridCol w:w="2410"/>
        <w:gridCol w:w="2873"/>
        <w:gridCol w:w="661"/>
      </w:tblGrid>
      <w:tr w:rsidR="00647D4E" w:rsidRPr="00647D4E" w14:paraId="217CA1C2" w14:textId="77777777" w:rsidTr="0004571A">
        <w:trPr>
          <w:trHeight w:val="334"/>
        </w:trPr>
        <w:tc>
          <w:tcPr>
            <w:tcW w:w="3578" w:type="dxa"/>
            <w:tcBorders>
              <w:top w:val="nil"/>
              <w:left w:val="nil"/>
              <w:bottom w:val="single" w:sz="8" w:space="0" w:color="auto"/>
              <w:right w:val="nil"/>
            </w:tcBorders>
            <w:shd w:val="clear" w:color="auto" w:fill="auto"/>
            <w:noWrap/>
            <w:vAlign w:val="bottom"/>
            <w:hideMark/>
          </w:tcPr>
          <w:p w14:paraId="17132E53" w14:textId="77777777" w:rsidR="00647D4E" w:rsidRPr="00647D4E" w:rsidRDefault="00647D4E" w:rsidP="00E179B6">
            <w:pPr>
              <w:rPr>
                <w:rFonts w:ascii="Times New Roman" w:hAnsi="Times New Roman" w:cs="Times New Roman"/>
                <w:color w:val="000000"/>
                <w:sz w:val="20"/>
                <w:szCs w:val="20"/>
                <w:lang w:eastAsia="en-GB"/>
              </w:rPr>
            </w:pPr>
          </w:p>
        </w:tc>
        <w:tc>
          <w:tcPr>
            <w:tcW w:w="2410" w:type="dxa"/>
            <w:tcBorders>
              <w:top w:val="nil"/>
              <w:left w:val="nil"/>
              <w:bottom w:val="single" w:sz="8" w:space="0" w:color="auto"/>
              <w:right w:val="nil"/>
            </w:tcBorders>
            <w:shd w:val="clear" w:color="auto" w:fill="auto"/>
            <w:noWrap/>
            <w:vAlign w:val="bottom"/>
            <w:hideMark/>
          </w:tcPr>
          <w:p w14:paraId="55E4E4B7" w14:textId="77777777" w:rsidR="00647D4E" w:rsidRPr="00647D4E" w:rsidRDefault="00647D4E" w:rsidP="00E179B6">
            <w:pPr>
              <w:rPr>
                <w:rFonts w:ascii="Times New Roman" w:hAnsi="Times New Roman" w:cs="Times New Roman"/>
                <w:color w:val="000000"/>
                <w:sz w:val="20"/>
                <w:szCs w:val="20"/>
                <w:lang w:eastAsia="en-GB"/>
              </w:rPr>
            </w:pPr>
            <w:r w:rsidRPr="00647D4E">
              <w:rPr>
                <w:rFonts w:ascii="Times New Roman" w:hAnsi="Times New Roman" w:cs="Times New Roman"/>
                <w:color w:val="000000"/>
                <w:sz w:val="20"/>
                <w:szCs w:val="20"/>
                <w:lang w:eastAsia="en-GB"/>
              </w:rPr>
              <w:t> </w:t>
            </w:r>
          </w:p>
        </w:tc>
        <w:tc>
          <w:tcPr>
            <w:tcW w:w="2873" w:type="dxa"/>
            <w:tcBorders>
              <w:top w:val="nil"/>
              <w:left w:val="nil"/>
              <w:bottom w:val="single" w:sz="8" w:space="0" w:color="auto"/>
              <w:right w:val="nil"/>
            </w:tcBorders>
            <w:shd w:val="clear" w:color="auto" w:fill="auto"/>
            <w:noWrap/>
            <w:vAlign w:val="bottom"/>
            <w:hideMark/>
          </w:tcPr>
          <w:p w14:paraId="49273405" w14:textId="77777777" w:rsidR="00647D4E" w:rsidRPr="00647D4E" w:rsidRDefault="00647D4E" w:rsidP="00E179B6">
            <w:pPr>
              <w:rPr>
                <w:rFonts w:ascii="Times New Roman" w:hAnsi="Times New Roman" w:cs="Times New Roman"/>
                <w:color w:val="000000"/>
                <w:sz w:val="20"/>
                <w:szCs w:val="20"/>
                <w:lang w:eastAsia="en-GB"/>
              </w:rPr>
            </w:pPr>
          </w:p>
        </w:tc>
        <w:tc>
          <w:tcPr>
            <w:tcW w:w="661" w:type="dxa"/>
            <w:tcBorders>
              <w:top w:val="nil"/>
              <w:left w:val="nil"/>
              <w:bottom w:val="single" w:sz="8" w:space="0" w:color="auto"/>
              <w:right w:val="nil"/>
            </w:tcBorders>
          </w:tcPr>
          <w:p w14:paraId="0003811B" w14:textId="77777777" w:rsidR="00647D4E" w:rsidRPr="00647D4E" w:rsidRDefault="00647D4E" w:rsidP="00E179B6">
            <w:pPr>
              <w:rPr>
                <w:rFonts w:ascii="Times New Roman" w:hAnsi="Times New Roman" w:cs="Times New Roman"/>
                <w:color w:val="000000"/>
                <w:sz w:val="20"/>
                <w:szCs w:val="20"/>
                <w:lang w:eastAsia="en-GB"/>
              </w:rPr>
            </w:pPr>
          </w:p>
        </w:tc>
      </w:tr>
      <w:tr w:rsidR="00647D4E" w:rsidRPr="00647D4E" w14:paraId="1FE8571D" w14:textId="77777777" w:rsidTr="0004571A">
        <w:trPr>
          <w:trHeight w:val="334"/>
        </w:trPr>
        <w:tc>
          <w:tcPr>
            <w:tcW w:w="3578" w:type="dxa"/>
            <w:tcBorders>
              <w:top w:val="nil"/>
              <w:left w:val="nil"/>
              <w:bottom w:val="single" w:sz="8" w:space="0" w:color="auto"/>
              <w:right w:val="nil"/>
            </w:tcBorders>
            <w:shd w:val="clear" w:color="auto" w:fill="auto"/>
            <w:noWrap/>
            <w:vAlign w:val="bottom"/>
            <w:hideMark/>
          </w:tcPr>
          <w:p w14:paraId="455644C1" w14:textId="77777777" w:rsidR="00647D4E" w:rsidRPr="0004571A" w:rsidRDefault="00647D4E" w:rsidP="0004571A">
            <w:pPr>
              <w:rPr>
                <w:rFonts w:ascii="Times New Roman" w:hAnsi="Times New Roman" w:cs="Times New Roman"/>
                <w:b/>
                <w:bCs/>
                <w:color w:val="000000"/>
                <w:sz w:val="18"/>
                <w:szCs w:val="18"/>
                <w:lang w:eastAsia="en-GB"/>
              </w:rPr>
            </w:pPr>
            <w:r w:rsidRPr="0004571A">
              <w:rPr>
                <w:rFonts w:ascii="Times New Roman" w:hAnsi="Times New Roman" w:cs="Times New Roman"/>
                <w:b/>
                <w:bCs/>
                <w:color w:val="000000"/>
                <w:sz w:val="18"/>
                <w:szCs w:val="18"/>
                <w:lang w:eastAsia="en-GB"/>
              </w:rPr>
              <w:t>Reported Metric</w:t>
            </w:r>
          </w:p>
        </w:tc>
        <w:tc>
          <w:tcPr>
            <w:tcW w:w="2410" w:type="dxa"/>
            <w:tcBorders>
              <w:top w:val="nil"/>
              <w:left w:val="nil"/>
              <w:bottom w:val="single" w:sz="8" w:space="0" w:color="auto"/>
              <w:right w:val="nil"/>
            </w:tcBorders>
            <w:shd w:val="clear" w:color="auto" w:fill="auto"/>
            <w:noWrap/>
            <w:vAlign w:val="bottom"/>
            <w:hideMark/>
          </w:tcPr>
          <w:p w14:paraId="19986709" w14:textId="77777777" w:rsidR="00647D4E" w:rsidRPr="0004571A" w:rsidRDefault="00647D4E" w:rsidP="0004571A">
            <w:pPr>
              <w:rPr>
                <w:rFonts w:ascii="Times New Roman" w:hAnsi="Times New Roman" w:cs="Times New Roman"/>
                <w:b/>
                <w:bCs/>
                <w:color w:val="000000"/>
                <w:sz w:val="18"/>
                <w:szCs w:val="18"/>
                <w:lang w:eastAsia="en-GB"/>
              </w:rPr>
            </w:pPr>
            <w:r w:rsidRPr="0004571A">
              <w:rPr>
                <w:rFonts w:ascii="Times New Roman" w:hAnsi="Times New Roman" w:cs="Times New Roman"/>
                <w:b/>
                <w:bCs/>
                <w:color w:val="000000"/>
                <w:sz w:val="18"/>
                <w:szCs w:val="18"/>
                <w:vertAlign w:val="superscript"/>
                <w:lang w:eastAsia="en-GB"/>
              </w:rPr>
              <w:t>14</w:t>
            </w:r>
            <w:r w:rsidRPr="0004571A">
              <w:rPr>
                <w:rFonts w:ascii="Times New Roman" w:hAnsi="Times New Roman" w:cs="Times New Roman"/>
                <w:b/>
                <w:bCs/>
                <w:color w:val="000000"/>
                <w:sz w:val="18"/>
                <w:szCs w:val="18"/>
                <w:lang w:eastAsia="en-GB"/>
              </w:rPr>
              <w:t>C Kay Peak &amp; scoria cone</w:t>
            </w:r>
          </w:p>
        </w:tc>
        <w:tc>
          <w:tcPr>
            <w:tcW w:w="2873" w:type="dxa"/>
            <w:tcBorders>
              <w:top w:val="nil"/>
              <w:left w:val="nil"/>
              <w:bottom w:val="single" w:sz="8" w:space="0" w:color="auto"/>
              <w:right w:val="nil"/>
            </w:tcBorders>
            <w:shd w:val="clear" w:color="auto" w:fill="auto"/>
            <w:noWrap/>
            <w:vAlign w:val="bottom"/>
            <w:hideMark/>
          </w:tcPr>
          <w:p w14:paraId="06B58802" w14:textId="77777777" w:rsidR="00647D4E" w:rsidRPr="0004571A" w:rsidRDefault="00647D4E" w:rsidP="0004571A">
            <w:pPr>
              <w:rPr>
                <w:rFonts w:ascii="Times New Roman" w:hAnsi="Times New Roman" w:cs="Times New Roman"/>
                <w:b/>
                <w:bCs/>
                <w:color w:val="000000"/>
                <w:sz w:val="18"/>
                <w:szCs w:val="18"/>
                <w:lang w:eastAsia="en-GB"/>
              </w:rPr>
            </w:pPr>
            <w:r w:rsidRPr="0004571A">
              <w:rPr>
                <w:rFonts w:ascii="Times New Roman" w:hAnsi="Times New Roman" w:cs="Times New Roman"/>
                <w:b/>
                <w:bCs/>
                <w:color w:val="000000"/>
                <w:sz w:val="18"/>
                <w:szCs w:val="18"/>
                <w:vertAlign w:val="superscript"/>
                <w:lang w:eastAsia="en-GB"/>
              </w:rPr>
              <w:t>10</w:t>
            </w:r>
            <w:r w:rsidRPr="0004571A">
              <w:rPr>
                <w:rFonts w:ascii="Times New Roman" w:hAnsi="Times New Roman" w:cs="Times New Roman"/>
                <w:b/>
                <w:bCs/>
                <w:color w:val="000000"/>
                <w:sz w:val="18"/>
                <w:szCs w:val="18"/>
                <w:lang w:eastAsia="en-GB"/>
              </w:rPr>
              <w:t>Be Kay Peak &amp; scoria cone</w:t>
            </w:r>
          </w:p>
        </w:tc>
        <w:tc>
          <w:tcPr>
            <w:tcW w:w="661" w:type="dxa"/>
            <w:tcBorders>
              <w:top w:val="nil"/>
              <w:left w:val="nil"/>
              <w:bottom w:val="single" w:sz="8" w:space="0" w:color="auto"/>
              <w:right w:val="nil"/>
            </w:tcBorders>
          </w:tcPr>
          <w:p w14:paraId="7D2F6FFE" w14:textId="77777777" w:rsidR="00647D4E" w:rsidRPr="00647D4E" w:rsidRDefault="00647D4E" w:rsidP="0004571A">
            <w:pPr>
              <w:rPr>
                <w:rFonts w:ascii="Times New Roman" w:hAnsi="Times New Roman" w:cs="Times New Roman"/>
                <w:b/>
                <w:bCs/>
                <w:color w:val="000000"/>
                <w:sz w:val="20"/>
                <w:szCs w:val="20"/>
                <w:vertAlign w:val="superscript"/>
                <w:lang w:eastAsia="en-GB"/>
              </w:rPr>
            </w:pPr>
          </w:p>
        </w:tc>
      </w:tr>
      <w:tr w:rsidR="00647D4E" w:rsidRPr="00647D4E" w14:paraId="0AD51413" w14:textId="77777777" w:rsidTr="0004571A">
        <w:trPr>
          <w:trHeight w:val="318"/>
        </w:trPr>
        <w:tc>
          <w:tcPr>
            <w:tcW w:w="3578" w:type="dxa"/>
            <w:tcBorders>
              <w:top w:val="nil"/>
              <w:left w:val="nil"/>
              <w:bottom w:val="nil"/>
              <w:right w:val="nil"/>
            </w:tcBorders>
            <w:shd w:val="clear" w:color="auto" w:fill="auto"/>
            <w:noWrap/>
            <w:vAlign w:val="bottom"/>
            <w:hideMark/>
          </w:tcPr>
          <w:p w14:paraId="2F62C67B"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Std Dev. Residuals (yrs)</w:t>
            </w:r>
          </w:p>
        </w:tc>
        <w:tc>
          <w:tcPr>
            <w:tcW w:w="2410" w:type="dxa"/>
            <w:tcBorders>
              <w:top w:val="nil"/>
              <w:left w:val="nil"/>
              <w:bottom w:val="nil"/>
              <w:right w:val="nil"/>
            </w:tcBorders>
            <w:shd w:val="clear" w:color="auto" w:fill="auto"/>
            <w:noWrap/>
            <w:vAlign w:val="bottom"/>
            <w:hideMark/>
          </w:tcPr>
          <w:p w14:paraId="7B653971"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1957</w:t>
            </w:r>
          </w:p>
        </w:tc>
        <w:tc>
          <w:tcPr>
            <w:tcW w:w="2873" w:type="dxa"/>
            <w:tcBorders>
              <w:top w:val="nil"/>
              <w:left w:val="nil"/>
              <w:bottom w:val="nil"/>
              <w:right w:val="nil"/>
            </w:tcBorders>
            <w:shd w:val="clear" w:color="auto" w:fill="auto"/>
            <w:noWrap/>
            <w:vAlign w:val="bottom"/>
            <w:hideMark/>
          </w:tcPr>
          <w:p w14:paraId="75599F4E"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225</w:t>
            </w:r>
          </w:p>
        </w:tc>
        <w:tc>
          <w:tcPr>
            <w:tcW w:w="661" w:type="dxa"/>
            <w:tcBorders>
              <w:top w:val="nil"/>
              <w:left w:val="nil"/>
              <w:bottom w:val="nil"/>
              <w:right w:val="nil"/>
            </w:tcBorders>
          </w:tcPr>
          <w:p w14:paraId="0A416BE6" w14:textId="77777777" w:rsidR="00647D4E" w:rsidRPr="00647D4E" w:rsidRDefault="00647D4E" w:rsidP="0004571A">
            <w:pPr>
              <w:rPr>
                <w:rFonts w:ascii="Times New Roman" w:hAnsi="Times New Roman" w:cs="Times New Roman"/>
                <w:color w:val="000000"/>
                <w:sz w:val="20"/>
                <w:szCs w:val="20"/>
                <w:lang w:eastAsia="en-GB"/>
              </w:rPr>
            </w:pPr>
          </w:p>
        </w:tc>
      </w:tr>
      <w:tr w:rsidR="00647D4E" w:rsidRPr="00647D4E" w14:paraId="16F0E39E" w14:textId="77777777" w:rsidTr="0004571A">
        <w:trPr>
          <w:trHeight w:val="318"/>
        </w:trPr>
        <w:tc>
          <w:tcPr>
            <w:tcW w:w="3578" w:type="dxa"/>
            <w:tcBorders>
              <w:top w:val="nil"/>
              <w:left w:val="nil"/>
              <w:bottom w:val="nil"/>
              <w:right w:val="nil"/>
            </w:tcBorders>
            <w:shd w:val="clear" w:color="auto" w:fill="auto"/>
            <w:noWrap/>
            <w:vAlign w:val="bottom"/>
            <w:hideMark/>
          </w:tcPr>
          <w:p w14:paraId="2B6FD540"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Av. analytical error 1σ (yrs)</w:t>
            </w:r>
          </w:p>
        </w:tc>
        <w:tc>
          <w:tcPr>
            <w:tcW w:w="2410" w:type="dxa"/>
            <w:tcBorders>
              <w:top w:val="nil"/>
              <w:left w:val="nil"/>
              <w:bottom w:val="nil"/>
              <w:right w:val="nil"/>
            </w:tcBorders>
            <w:shd w:val="clear" w:color="auto" w:fill="auto"/>
            <w:noWrap/>
            <w:vAlign w:val="bottom"/>
            <w:hideMark/>
          </w:tcPr>
          <w:p w14:paraId="7C54C280"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641</w:t>
            </w:r>
          </w:p>
        </w:tc>
        <w:tc>
          <w:tcPr>
            <w:tcW w:w="2873" w:type="dxa"/>
            <w:tcBorders>
              <w:top w:val="nil"/>
              <w:left w:val="nil"/>
              <w:bottom w:val="nil"/>
              <w:right w:val="nil"/>
            </w:tcBorders>
            <w:shd w:val="clear" w:color="auto" w:fill="auto"/>
            <w:noWrap/>
            <w:vAlign w:val="bottom"/>
            <w:hideMark/>
          </w:tcPr>
          <w:p w14:paraId="5AB6A8ED"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222</w:t>
            </w:r>
          </w:p>
        </w:tc>
        <w:tc>
          <w:tcPr>
            <w:tcW w:w="661" w:type="dxa"/>
            <w:tcBorders>
              <w:top w:val="nil"/>
              <w:left w:val="nil"/>
              <w:bottom w:val="nil"/>
              <w:right w:val="nil"/>
            </w:tcBorders>
          </w:tcPr>
          <w:p w14:paraId="2C7B72D3" w14:textId="77777777" w:rsidR="00647D4E" w:rsidRPr="00647D4E" w:rsidRDefault="00647D4E" w:rsidP="0004571A">
            <w:pPr>
              <w:rPr>
                <w:rFonts w:ascii="Times New Roman" w:hAnsi="Times New Roman" w:cs="Times New Roman"/>
                <w:color w:val="000000"/>
                <w:sz w:val="20"/>
                <w:szCs w:val="20"/>
                <w:lang w:eastAsia="en-GB"/>
              </w:rPr>
            </w:pPr>
          </w:p>
        </w:tc>
      </w:tr>
      <w:tr w:rsidR="00647D4E" w:rsidRPr="00647D4E" w14:paraId="2E541740" w14:textId="77777777" w:rsidTr="0004571A">
        <w:trPr>
          <w:trHeight w:val="318"/>
        </w:trPr>
        <w:tc>
          <w:tcPr>
            <w:tcW w:w="3578" w:type="dxa"/>
            <w:tcBorders>
              <w:top w:val="nil"/>
              <w:left w:val="nil"/>
              <w:bottom w:val="nil"/>
              <w:right w:val="nil"/>
            </w:tcBorders>
            <w:shd w:val="clear" w:color="auto" w:fill="auto"/>
            <w:noWrap/>
            <w:vAlign w:val="bottom"/>
            <w:hideMark/>
          </w:tcPr>
          <w:p w14:paraId="3258EB82"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Av. external error 1σ (yrs)</w:t>
            </w:r>
          </w:p>
        </w:tc>
        <w:tc>
          <w:tcPr>
            <w:tcW w:w="2410" w:type="dxa"/>
            <w:tcBorders>
              <w:top w:val="nil"/>
              <w:left w:val="nil"/>
              <w:bottom w:val="nil"/>
              <w:right w:val="nil"/>
            </w:tcBorders>
            <w:shd w:val="clear" w:color="auto" w:fill="auto"/>
            <w:noWrap/>
            <w:vAlign w:val="bottom"/>
            <w:hideMark/>
          </w:tcPr>
          <w:p w14:paraId="184F9C2B"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834</w:t>
            </w:r>
          </w:p>
        </w:tc>
        <w:tc>
          <w:tcPr>
            <w:tcW w:w="2873" w:type="dxa"/>
            <w:tcBorders>
              <w:top w:val="nil"/>
              <w:left w:val="nil"/>
              <w:bottom w:val="nil"/>
              <w:right w:val="nil"/>
            </w:tcBorders>
            <w:shd w:val="clear" w:color="auto" w:fill="auto"/>
            <w:noWrap/>
            <w:vAlign w:val="bottom"/>
            <w:hideMark/>
          </w:tcPr>
          <w:p w14:paraId="4126CB1A"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453</w:t>
            </w:r>
          </w:p>
        </w:tc>
        <w:tc>
          <w:tcPr>
            <w:tcW w:w="661" w:type="dxa"/>
            <w:tcBorders>
              <w:top w:val="nil"/>
              <w:left w:val="nil"/>
              <w:bottom w:val="nil"/>
              <w:right w:val="nil"/>
            </w:tcBorders>
          </w:tcPr>
          <w:p w14:paraId="084A881B" w14:textId="77777777" w:rsidR="00647D4E" w:rsidRPr="00647D4E" w:rsidRDefault="00647D4E" w:rsidP="0004571A">
            <w:pPr>
              <w:rPr>
                <w:rFonts w:ascii="Times New Roman" w:hAnsi="Times New Roman" w:cs="Times New Roman"/>
                <w:color w:val="000000"/>
                <w:sz w:val="20"/>
                <w:szCs w:val="20"/>
                <w:lang w:eastAsia="en-GB"/>
              </w:rPr>
            </w:pPr>
          </w:p>
        </w:tc>
      </w:tr>
      <w:tr w:rsidR="00647D4E" w:rsidRPr="00647D4E" w14:paraId="33866B80" w14:textId="77777777" w:rsidTr="0004571A">
        <w:trPr>
          <w:trHeight w:val="334"/>
        </w:trPr>
        <w:tc>
          <w:tcPr>
            <w:tcW w:w="3578" w:type="dxa"/>
            <w:tcBorders>
              <w:top w:val="nil"/>
              <w:left w:val="nil"/>
              <w:bottom w:val="single" w:sz="8" w:space="0" w:color="auto"/>
              <w:right w:val="nil"/>
            </w:tcBorders>
            <w:shd w:val="clear" w:color="auto" w:fill="auto"/>
            <w:noWrap/>
            <w:vAlign w:val="bottom"/>
            <w:hideMark/>
          </w:tcPr>
          <w:p w14:paraId="6B0CC8DD"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 xml:space="preserve">Error </w:t>
            </w:r>
            <w:proofErr w:type="gramStart"/>
            <w:r w:rsidRPr="0004571A">
              <w:rPr>
                <w:rFonts w:ascii="Times New Roman" w:hAnsi="Times New Roman" w:cs="Times New Roman"/>
                <w:color w:val="000000"/>
                <w:sz w:val="18"/>
                <w:szCs w:val="18"/>
                <w:lang w:eastAsia="en-GB"/>
              </w:rPr>
              <w:t>in excess of</w:t>
            </w:r>
            <w:proofErr w:type="gramEnd"/>
            <w:r w:rsidRPr="0004571A">
              <w:rPr>
                <w:rFonts w:ascii="Times New Roman" w:hAnsi="Times New Roman" w:cs="Times New Roman"/>
                <w:color w:val="000000"/>
                <w:sz w:val="18"/>
                <w:szCs w:val="18"/>
                <w:lang w:eastAsia="en-GB"/>
              </w:rPr>
              <w:t xml:space="preserve"> analytical uncertainty (yrs)</w:t>
            </w:r>
          </w:p>
        </w:tc>
        <w:tc>
          <w:tcPr>
            <w:tcW w:w="2410" w:type="dxa"/>
            <w:tcBorders>
              <w:top w:val="nil"/>
              <w:left w:val="nil"/>
              <w:bottom w:val="single" w:sz="8" w:space="0" w:color="auto"/>
              <w:right w:val="nil"/>
            </w:tcBorders>
            <w:shd w:val="clear" w:color="auto" w:fill="auto"/>
            <w:noWrap/>
            <w:vAlign w:val="bottom"/>
            <w:hideMark/>
          </w:tcPr>
          <w:p w14:paraId="6482C596"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1849</w:t>
            </w:r>
          </w:p>
        </w:tc>
        <w:tc>
          <w:tcPr>
            <w:tcW w:w="2873" w:type="dxa"/>
            <w:tcBorders>
              <w:top w:val="nil"/>
              <w:left w:val="nil"/>
              <w:bottom w:val="single" w:sz="8" w:space="0" w:color="auto"/>
              <w:right w:val="nil"/>
            </w:tcBorders>
            <w:shd w:val="clear" w:color="auto" w:fill="auto"/>
            <w:noWrap/>
            <w:vAlign w:val="bottom"/>
            <w:hideMark/>
          </w:tcPr>
          <w:p w14:paraId="07E2FCB6" w14:textId="77777777" w:rsidR="00647D4E" w:rsidRPr="0004571A" w:rsidRDefault="00647D4E" w:rsidP="0004571A">
            <w:pPr>
              <w:rPr>
                <w:rFonts w:ascii="Times New Roman" w:hAnsi="Times New Roman" w:cs="Times New Roman"/>
                <w:color w:val="000000"/>
                <w:sz w:val="18"/>
                <w:szCs w:val="18"/>
                <w:lang w:eastAsia="en-GB"/>
              </w:rPr>
            </w:pPr>
            <w:r w:rsidRPr="0004571A">
              <w:rPr>
                <w:rFonts w:ascii="Times New Roman" w:hAnsi="Times New Roman" w:cs="Times New Roman"/>
                <w:color w:val="000000"/>
                <w:sz w:val="18"/>
                <w:szCs w:val="18"/>
                <w:lang w:eastAsia="en-GB"/>
              </w:rPr>
              <w:t>37</w:t>
            </w:r>
          </w:p>
        </w:tc>
        <w:tc>
          <w:tcPr>
            <w:tcW w:w="661" w:type="dxa"/>
            <w:tcBorders>
              <w:top w:val="nil"/>
              <w:left w:val="nil"/>
              <w:bottom w:val="single" w:sz="8" w:space="0" w:color="auto"/>
              <w:right w:val="nil"/>
            </w:tcBorders>
          </w:tcPr>
          <w:p w14:paraId="2A059734" w14:textId="77777777" w:rsidR="00647D4E" w:rsidRPr="00647D4E" w:rsidRDefault="00647D4E" w:rsidP="0004571A">
            <w:pPr>
              <w:rPr>
                <w:rFonts w:ascii="Times New Roman" w:hAnsi="Times New Roman" w:cs="Times New Roman"/>
                <w:color w:val="000000"/>
                <w:sz w:val="20"/>
                <w:szCs w:val="20"/>
                <w:lang w:eastAsia="en-GB"/>
              </w:rPr>
            </w:pPr>
          </w:p>
        </w:tc>
      </w:tr>
    </w:tbl>
    <w:p w14:paraId="46D6DD86" w14:textId="77777777" w:rsidR="00647D4E" w:rsidRPr="00647D4E" w:rsidRDefault="00647D4E" w:rsidP="00647D4E">
      <w:pPr>
        <w:rPr>
          <w:rFonts w:ascii="Times New Roman" w:hAnsi="Times New Roman" w:cs="Times New Roman"/>
          <w:sz w:val="20"/>
          <w:szCs w:val="20"/>
        </w:rPr>
      </w:pPr>
    </w:p>
    <w:p w14:paraId="3BFD3738" w14:textId="77777777" w:rsidR="00647D4E" w:rsidRPr="00647D4E" w:rsidRDefault="00647D4E" w:rsidP="00647D4E">
      <w:pPr>
        <w:jc w:val="center"/>
        <w:rPr>
          <w:rStyle w:val="unicode"/>
          <w:rFonts w:ascii="Times New Roman" w:hAnsi="Times New Roman" w:cs="Times New Roman"/>
          <w:sz w:val="20"/>
          <w:szCs w:val="20"/>
        </w:rPr>
      </w:pPr>
      <w:r w:rsidRPr="00647D4E">
        <w:rPr>
          <w:rFonts w:ascii="Times New Roman" w:hAnsi="Times New Roman" w:cs="Times New Roman"/>
          <w:noProof/>
          <w:sz w:val="20"/>
          <w:szCs w:val="20"/>
        </w:rPr>
        <w:drawing>
          <wp:inline distT="0" distB="0" distL="0" distR="0" wp14:anchorId="2DC3ADBD" wp14:editId="26B2BC1B">
            <wp:extent cx="6013275" cy="2421802"/>
            <wp:effectExtent l="0" t="0" r="6985" b="0"/>
            <wp:docPr id="1935845760" name="Picture 6" descr="A screenshot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845760" name="Picture 6" descr="A screenshot of a graph"/>
                    <pic:cNvPicPr/>
                  </pic:nvPicPr>
                  <pic:blipFill rotWithShape="1">
                    <a:blip r:embed="rId17" cstate="print">
                      <a:extLst>
                        <a:ext uri="{28A0092B-C50C-407E-A947-70E740481C1C}">
                          <a14:useLocalDpi xmlns:a14="http://schemas.microsoft.com/office/drawing/2010/main" val="0"/>
                        </a:ext>
                      </a:extLst>
                    </a:blip>
                    <a:srcRect l="852" r="2696"/>
                    <a:stretch/>
                  </pic:blipFill>
                  <pic:spPr bwMode="auto">
                    <a:xfrm>
                      <a:off x="0" y="0"/>
                      <a:ext cx="6080559" cy="2448900"/>
                    </a:xfrm>
                    <a:prstGeom prst="rect">
                      <a:avLst/>
                    </a:prstGeom>
                    <a:ln>
                      <a:noFill/>
                    </a:ln>
                    <a:extLst>
                      <a:ext uri="{53640926-AAD7-44D8-BBD7-CCE9431645EC}">
                        <a14:shadowObscured xmlns:a14="http://schemas.microsoft.com/office/drawing/2010/main"/>
                      </a:ext>
                    </a:extLst>
                  </pic:spPr>
                </pic:pic>
              </a:graphicData>
            </a:graphic>
          </wp:inline>
        </w:drawing>
      </w:r>
    </w:p>
    <w:p w14:paraId="04FEA463" w14:textId="77777777" w:rsidR="004A5D32" w:rsidRDefault="00647D4E" w:rsidP="004A5D32">
      <w:pPr>
        <w:spacing w:line="240" w:lineRule="auto"/>
        <w:rPr>
          <w:rFonts w:ascii="Times New Roman" w:hAnsi="Times New Roman" w:cs="Times New Roman"/>
          <w:sz w:val="20"/>
          <w:szCs w:val="20"/>
        </w:rPr>
      </w:pPr>
      <w:r w:rsidRPr="00647D4E">
        <w:rPr>
          <w:rFonts w:ascii="Times New Roman" w:hAnsi="Times New Roman" w:cs="Times New Roman"/>
          <w:b/>
          <w:bCs/>
          <w:sz w:val="20"/>
          <w:szCs w:val="20"/>
        </w:rPr>
        <w:t xml:space="preserve">Figure </w:t>
      </w:r>
      <w:r w:rsidR="004A5D32">
        <w:rPr>
          <w:rFonts w:ascii="Times New Roman" w:hAnsi="Times New Roman" w:cs="Times New Roman"/>
          <w:b/>
          <w:bCs/>
          <w:sz w:val="20"/>
          <w:szCs w:val="20"/>
        </w:rPr>
        <w:t>S10</w:t>
      </w:r>
      <w:r w:rsidRPr="00647D4E">
        <w:rPr>
          <w:rFonts w:ascii="Times New Roman" w:hAnsi="Times New Roman" w:cs="Times New Roman"/>
          <w:b/>
          <w:bCs/>
          <w:sz w:val="20"/>
          <w:szCs w:val="20"/>
        </w:rPr>
        <w:t>:</w:t>
      </w:r>
      <w:r w:rsidRPr="00647D4E">
        <w:rPr>
          <w:rFonts w:ascii="Times New Roman" w:hAnsi="Times New Roman" w:cs="Times New Roman"/>
          <w:sz w:val="20"/>
          <w:szCs w:val="20"/>
        </w:rPr>
        <w:t xml:space="preserve"> Results of bootstrapped linear regression for Kay Peak/ scoria cone </w:t>
      </w:r>
      <w:r w:rsidRPr="00647D4E">
        <w:rPr>
          <w:rFonts w:ascii="Times New Roman" w:hAnsi="Times New Roman" w:cs="Times New Roman"/>
          <w:b/>
          <w:bCs/>
          <w:sz w:val="20"/>
          <w:szCs w:val="20"/>
        </w:rPr>
        <w:t>(a)</w:t>
      </w:r>
      <w:r w:rsidRPr="00647D4E">
        <w:rPr>
          <w:rFonts w:ascii="Times New Roman" w:hAnsi="Times New Roman" w:cs="Times New Roman"/>
          <w:sz w:val="20"/>
          <w:szCs w:val="20"/>
        </w:rPr>
        <w:t xml:space="preserve"> in situ ¹⁴C dataset (n=20) and </w:t>
      </w:r>
      <w:r w:rsidRPr="00647D4E">
        <w:rPr>
          <w:rFonts w:ascii="Times New Roman" w:hAnsi="Times New Roman" w:cs="Times New Roman"/>
          <w:b/>
          <w:bCs/>
          <w:sz w:val="20"/>
          <w:szCs w:val="20"/>
        </w:rPr>
        <w:t>(b)</w:t>
      </w:r>
      <w:r w:rsidRPr="00647D4E">
        <w:rPr>
          <w:rFonts w:ascii="Times New Roman" w:hAnsi="Times New Roman" w:cs="Times New Roman"/>
          <w:sz w:val="20"/>
          <w:szCs w:val="20"/>
        </w:rPr>
        <w:t xml:space="preserve">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Be dataset (n = 12). In both panels exposure ages are shown with 1 σ internal uncertainties.</w:t>
      </w:r>
      <w:r w:rsidRPr="00647D4E">
        <w:rPr>
          <w:rFonts w:ascii="Times New Roman" w:hAnsi="Times New Roman" w:cs="Times New Roman"/>
          <w:color w:val="FF0000"/>
          <w:sz w:val="20"/>
          <w:szCs w:val="20"/>
        </w:rPr>
        <w:t xml:space="preserve"> </w:t>
      </w:r>
      <w:r w:rsidRPr="00647D4E">
        <w:rPr>
          <w:rFonts w:ascii="Times New Roman" w:hAnsi="Times New Roman" w:cs="Times New Roman"/>
          <w:sz w:val="20"/>
          <w:szCs w:val="20"/>
        </w:rPr>
        <w:t xml:space="preserve">The solid line in each plot represents the line of best fit determined from linear regression, and the dashed lines represent the 95 % confidence interval. Note </w:t>
      </w:r>
      <w:r w:rsidRPr="00647D4E">
        <w:rPr>
          <w:rFonts w:ascii="Times New Roman" w:hAnsi="Times New Roman" w:cs="Times New Roman"/>
          <w:sz w:val="20"/>
          <w:szCs w:val="20"/>
          <w:vertAlign w:val="superscript"/>
        </w:rPr>
        <w:t>10</w:t>
      </w:r>
      <w:r w:rsidRPr="00647D4E">
        <w:rPr>
          <w:rFonts w:ascii="Times New Roman" w:hAnsi="Times New Roman" w:cs="Times New Roman"/>
          <w:sz w:val="20"/>
          <w:szCs w:val="20"/>
        </w:rPr>
        <w:t xml:space="preserve">Be apparent exposure ages strongly suggesting nuclide inheritance </w:t>
      </w:r>
      <w:r w:rsidRPr="00647D4E">
        <w:rPr>
          <w:rFonts w:ascii="Times New Roman" w:hAnsi="Times New Roman" w:cs="Times New Roman"/>
          <w:sz w:val="20"/>
          <w:szCs w:val="20"/>
        </w:rPr>
        <w:fldChar w:fldCharType="begin" w:fldLock="1"/>
      </w:r>
      <w:r w:rsidRPr="00647D4E">
        <w:rPr>
          <w:rFonts w:ascii="Times New Roman" w:hAnsi="Times New Roman" w:cs="Times New Roman"/>
          <w:sz w:val="20"/>
          <w:szCs w:val="20"/>
        </w:rPr>
        <w:instrText>ADDIN CSL_CITATION {"citationItems":[{"id":"ITEM-1","itemData":{"DOI":"10.1016/j.epsl.2020.116501","ISSN":"0012821X","author":[{"dropping-particle":"","family":"Johnson","given":"Joanne S.","non-dropping-particle":"","parse-names":false,"suffix":""},{"dropping-particle":"","family":"Roberts","given":"Stephen J.","non-dropping-particle":"","parse-names":false,"suffix":""},{"dropping-particle":"","family":"Rood","given":"Dylan H.","non-dropping-particle":"","parse-names":false,"suffix":""},{"dropping-particle":"","family":"Pollard","given":"David","non-dropping-particle":"","parse-names":false,"suffix":""},{"dropping-particle":"","family":"Schaefer","given":"Joerg M.","non-dropping-particle":"","parse-names":false,"suffix":""},{"dropping-particle":"","family":"Whitehouse","given":"Pippa L.","non-dropping-particle":"","parse-names":false,"suffix":""},{"dropping-particle":"","family":"Ireland","given":"Louise C.","non-dropping-particle":"","parse-names":false,"suffix":""},{"dropping-particle":"","family":"Lamp","given":"Jennifer L.","non-dropping-particle":"","parse-names":false,"suffix":""},{"dropping-particle":"","family":"Goehring","given":"Brent M.","non-dropping-particle":"","parse-names":false,"suffix":""},{"dropping-particle":"","family":"Rand","given":"Cari","non-dropping-particle":"","parse-names":false,"suffix":""},{"dropping-particle":"","family":"Smith","given":"James A.","non-dropping-particle":"","parse-names":false,"suffix":""}],"container-title":"Earth and Planetary Science Letters","id":"ITEM-1","issued":{"date-parts":[["2020","10","15"]]},"page":"116-501","publisher":"Elsevier","title":"Deglaciation of Pope Glacier implies widespread early Holocene ice sheet thinning in the Amundsen Sea sector of Antarctica","type":"article-journal","volume":"548"},"uris":["http://www.mendeley.com/documents/?uuid=3637f00b-c4e8-354b-8902-2ca54908c19b"]}],"mendeley":{"formattedCitation":"(Johnson et al., 2020)","plainTextFormattedCitation":"(Johnson et al., 2020)","previouslyFormattedCitation":"(Johnson et al., 2020)"},"properties":{"noteIndex":0},"schema":"https://github.com/citation-style-language/schema/raw/master/csl-citation.json"}</w:instrText>
      </w:r>
      <w:r w:rsidRPr="00647D4E">
        <w:rPr>
          <w:rFonts w:ascii="Times New Roman" w:hAnsi="Times New Roman" w:cs="Times New Roman"/>
          <w:sz w:val="20"/>
          <w:szCs w:val="20"/>
        </w:rPr>
        <w:fldChar w:fldCharType="separate"/>
      </w:r>
      <w:r w:rsidRPr="00647D4E">
        <w:rPr>
          <w:rFonts w:ascii="Times New Roman" w:hAnsi="Times New Roman" w:cs="Times New Roman"/>
          <w:noProof/>
          <w:sz w:val="20"/>
          <w:szCs w:val="20"/>
        </w:rPr>
        <w:t>(Johnson et al., 2020)</w:t>
      </w:r>
      <w:r w:rsidRPr="00647D4E">
        <w:rPr>
          <w:rFonts w:ascii="Times New Roman" w:hAnsi="Times New Roman" w:cs="Times New Roman"/>
          <w:sz w:val="20"/>
          <w:szCs w:val="20"/>
        </w:rPr>
        <w:fldChar w:fldCharType="end"/>
      </w:r>
      <w:r w:rsidRPr="00647D4E">
        <w:rPr>
          <w:rFonts w:ascii="Times New Roman" w:hAnsi="Times New Roman" w:cs="Times New Roman"/>
          <w:sz w:val="20"/>
          <w:szCs w:val="20"/>
        </w:rPr>
        <w:t xml:space="preserve"> were not included in the bootstrapping analysis. </w:t>
      </w:r>
    </w:p>
    <w:p w14:paraId="41BE05CB" w14:textId="77777777" w:rsidR="004A5D32" w:rsidRDefault="004A5D32" w:rsidP="004A5D32">
      <w:pPr>
        <w:spacing w:line="240" w:lineRule="auto"/>
        <w:rPr>
          <w:rFonts w:ascii="Times New Roman" w:hAnsi="Times New Roman" w:cs="Times New Roman"/>
          <w:sz w:val="20"/>
          <w:szCs w:val="20"/>
        </w:rPr>
      </w:pPr>
    </w:p>
    <w:p w14:paraId="4DCD0DA0" w14:textId="2B06DFA2" w:rsidR="004A5D32" w:rsidRPr="004A5D32" w:rsidRDefault="004A5D32" w:rsidP="004A5D32">
      <w:pPr>
        <w:spacing w:line="240" w:lineRule="auto"/>
        <w:rPr>
          <w:rFonts w:ascii="Times New Roman" w:hAnsi="Times New Roman" w:cs="Times New Roman"/>
          <w:b/>
          <w:bCs/>
          <w:sz w:val="20"/>
          <w:szCs w:val="20"/>
        </w:rPr>
      </w:pPr>
      <w:r w:rsidRPr="004A5D32">
        <w:rPr>
          <w:rFonts w:ascii="Times New Roman" w:hAnsi="Times New Roman" w:cs="Times New Roman"/>
          <w:b/>
          <w:bCs/>
          <w:lang w:eastAsia="en-GB"/>
        </w:rPr>
        <w:t xml:space="preserve">4.1.1 A statistical comparison of in situ </w:t>
      </w:r>
      <w:r w:rsidRPr="004A5D32">
        <w:rPr>
          <w:rFonts w:ascii="Times New Roman" w:hAnsi="Times New Roman" w:cs="Times New Roman"/>
          <w:b/>
          <w:bCs/>
          <w:vertAlign w:val="superscript"/>
          <w:lang w:eastAsia="en-GB"/>
        </w:rPr>
        <w:t>14</w:t>
      </w:r>
      <w:r w:rsidRPr="004A5D32">
        <w:rPr>
          <w:rFonts w:ascii="Times New Roman" w:hAnsi="Times New Roman" w:cs="Times New Roman"/>
          <w:b/>
          <w:bCs/>
          <w:lang w:eastAsia="en-GB"/>
        </w:rPr>
        <w:t xml:space="preserve">C and </w:t>
      </w:r>
      <w:r w:rsidRPr="004A5D32">
        <w:rPr>
          <w:rFonts w:ascii="Times New Roman" w:hAnsi="Times New Roman" w:cs="Times New Roman"/>
          <w:b/>
          <w:bCs/>
          <w:vertAlign w:val="superscript"/>
          <w:lang w:eastAsia="en-GB"/>
        </w:rPr>
        <w:t>10</w:t>
      </w:r>
      <w:r w:rsidRPr="004A5D32">
        <w:rPr>
          <w:rFonts w:ascii="Times New Roman" w:hAnsi="Times New Roman" w:cs="Times New Roman"/>
          <w:b/>
          <w:bCs/>
          <w:lang w:eastAsia="en-GB"/>
        </w:rPr>
        <w:t xml:space="preserve">Be datasets at scoria cone and Kay Peak </w:t>
      </w:r>
    </w:p>
    <w:p w14:paraId="4E90A251" w14:textId="50D79ADA" w:rsidR="004A5D32" w:rsidRPr="004A5D32" w:rsidRDefault="004A5D32" w:rsidP="004A5D32">
      <w:pPr>
        <w:spacing w:after="0"/>
        <w:ind w:firstLine="720"/>
        <w:rPr>
          <w:rStyle w:val="unicode"/>
          <w:rFonts w:ascii="Times New Roman" w:hAnsi="Times New Roman" w:cs="Times New Roman"/>
        </w:rPr>
      </w:pPr>
      <w:r>
        <w:rPr>
          <w:rStyle w:val="unicode"/>
          <w:rFonts w:ascii="Times New Roman" w:hAnsi="Times New Roman" w:cs="Times New Roman"/>
        </w:rPr>
        <w:t>The</w:t>
      </w:r>
      <w:r w:rsidRPr="004A5D32">
        <w:rPr>
          <w:rStyle w:val="unicode"/>
          <w:rFonts w:ascii="Times New Roman" w:hAnsi="Times New Roman" w:cs="Times New Roman"/>
        </w:rPr>
        <w:t xml:space="preserve"> statistical analysis (Table S4) indicates almost all scatter in the distribution of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exposure ages which are of Holocene age and not removed as outliers from scoria cone and Kay Peak sites, can be accounted for by the reported analytical uncertainty in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AMS measurements. This finding is consistent with improvements in AMS precision and reproducibility reported from CRONUS-A and CRONUS-N intercomparison materials </w:t>
      </w:r>
      <w:r w:rsidRPr="004A5D32">
        <w:rPr>
          <w:rStyle w:val="unicode"/>
          <w:rFonts w:ascii="Times New Roman" w:hAnsi="Times New Roman" w:cs="Times New Roman"/>
        </w:rPr>
        <w:fldChar w:fldCharType="begin" w:fldLock="1"/>
      </w:r>
      <w:r w:rsidRPr="004A5D32">
        <w:rPr>
          <w:rStyle w:val="unicode"/>
          <w:rFonts w:ascii="Times New Roman" w:hAnsi="Times New Roman" w:cs="Times New Roman"/>
        </w:rPr>
        <w:instrText>ADDIN CSL_CITATION {"citationItems":[{"id":"ITEM-1","itemData":{"DOI":"10.1016/j.quageo.2013.09.003","ISSN":"18711014","abstract":"As part of the NSF-funded program CRONUS-Earth, a series of natural reference materials for in situ produced 26Al, 10Be, 14C, and 36Cl were prepared and circulated to United States, Australian, and European laboratories for analysis to explore the comparability of results from the different laboratories and generate preliminary consensus values for a range of reference material. Such reference materials, which did not exist for these isotopes, assist laboratories in independently assessing quality and are useful to quantify precision and accuracy. Currently, most researchers report only internal analytical uncertainties for all results. While researchers have acknowledged the need for realistic inter-laboratory uncertainties for in situ produced cosmogenic isotopes, few previous studies have addressed this issue. Two samples (denoted A and N) were provided for 26Al, 10Be and in situ 14C analysis, one from the Antarctic, high in 26Al and 10Be and the other from Australia, lower in both 26Al and 10Be. Both samples were prepared to quartz at the University of Vermont. For each sample, results have been summarised in terms of the mean reported concentration, standard deviation both between (inter) and within (intra) laboratories to describe inter- and intra-laboratory variability. Coefficients of variation (CoV) expressed as a percentage of the mean are also reported. For in-situ 14C, a small number of laboratories reported results, so they are summarised separately. Initial uncorrected results for 10Be for samples A and N showed significant variation (greater than 8% CoV) in results. When corrected to a common standardisation basis, the CoV was 2.9% for 10Be measurements of sample A (high concentration) and to 4.1% for sample N (lower concentration), which is closer to typical cosmogenic samples. 26Al measurements had greater variation; a CoV of 4.9% was achieved for sample A (high concentration) but for the lower concentration sample N, the CoV was 10.1%.","author":[{"dropping-particle":"","family":"Jull","given":"A. J.Timothy","non-dropping-particle":"","parse-names":false,"suffix":""},{"dropping-particle":"","family":"Scott","given":"E. Marian","non-dropping-particle":"","parse-names":false,"suffix":""},{"dropping-particle":"","family":"Bierman","given":"Paul","non-dropping-particle":"","parse-names":false,"suffix":""}],"container-title":"Quaternary Geochronology","id":"ITEM-1","issue":"1","issued":{"date-parts":[["2015"]]},"note":"Jull - section 2.1 \n\ndefiinitions of repeatability and reproducibilitity","page":"3-10","publisher":"Elsevier B.V.","title":"The CRONUS-Earth inter-comparison for cosmogenic isotope analysis","type":"article-journal","volume":"26"},"uris":["http://www.mendeley.com/documents/?uuid=07e73014-a6c1-334e-a3b8-441e1f88d595"]},{"id":"ITEM-2","itemData":{"DOI":"10.1016/j.quageo.2022.101403","ISSN":"18711014","abstract":"Reference materials are key for assessing inter-laboratory variability and measurement quality, and for placing analytical uncertainty bounds on sample analyses. Here, we investigate four years of data resulting from repeated processing of the CRONUS-N reference material for cosmogenic 10Be and 26Al analyses. At University of Vermont, we prepared a CRONUS-N aliquot with most of our sample batches from 2013 to 2017; these reference material samples were then distributed to four different accelerator mass spectrometry facilities, yielding 73 10Be analyses and 58 26Al analyses. We determine CRONUS-N 10Be concentrations of (2.26 ± 0.14) x 105 atoms g−1 (n = 73, mean, 1 SD) and 26Al concentrations of (1.00 ± 0.08) x 106 atoms g−1 (n = 58, mean, 1 SD). We find a reproducibility of 6.3% for 10Be and 7.7% for 26Al (relative standard deviations). We also document highly variable 27Al and Mg concentrations and a 10Be dispersion twice as large as the mean AMS analytic uncertainty. Analyses of the CRONUS-N material with and without density separation demonstrate that non-quartz minerals are present in the material and have a large impact on measured concentrations of 27Al, 10Be, and impurities; these non-quartz minerals represent only a very small portion of the total mass (0.6–0.8%) but have a disproportionally large effect on the resulting data. Our results highlight the importance of completely removing all non-quartz mineral phases from samples prior to Be/Al extraction for the determination of in situ cosmogenic 10Be and 26Al concentrations.","author":[{"dropping-particle":"","family":"Corbett","given":"Lee B.","non-dropping-particle":"","parse-names":false,"suffix":""},{"dropping-particle":"","family":"Bierman","given":"Paul R.","non-dropping-particle":"","parse-names":false,"suffix":""},{"dropping-particle":"","family":"Brown","given":"Thomas A.","non-dropping-particle":"","parse-names":false,"suffix":""},{"dropping-particle":"","family":"Caffee","given":"Marc W.","non-dropping-particle":"","parse-names":false,"suffix":""},{"dropping-particle":"","family":"Fink","given":"David","non-dropping-particle":"","parse-names":false,"suffix":""},{"dropping-particle":"","family":"Freeman","given":"Stewart P.H.T.","non-dropping-particle":"","parse-names":false,"suffix":""},{"dropping-particle":"","family":"Hidy","given":"Alan J.","non-dropping-particle":"","parse-names":false,"suffix":""},{"dropping-particle":"","family":"Rood","given":"Dylan H.","non-dropping-particle":"","parse-names":false,"suffix":""},{"dropping-particle":"","family":"Wilcken","given":"Klaus M.","non-dropping-particle":"","parse-names":false,"suffix":""},{"dropping-particle":"","family":"Woodruff","given":"Thomas E.","non-dropping-particle":"","parse-names":false,"suffix":""}],"container-title":"Quaternary Geochronology","id":"ITEM-2","issued":{"date-parts":[["2022"]]},"page":"101403","publisher":"Elsevier B.V.","title":"Clean quartz matters for cosmogenic nuclide analyses: An exploration of the importance of sample purity using the CRONUS-N reference material","type":"article-journal","volume":"73"},"uris":["http://www.mendeley.com/documents/?uuid=309ea0ed-6420-41c0-8248-733529b73f01"]}],"mendeley":{"formattedCitation":"(Jull et al., 2015; Corbett et al., 2022)","plainTextFormattedCitation":"(Jull et al., 2015; Corbett et al., 2022)","previouslyFormattedCitation":"(Jull et al., 2015; Corbett et al., 2022)"},"properties":{"noteIndex":0},"schema":"https://github.com/citation-style-language/schema/raw/master/csl-citation.json"}</w:instrText>
      </w:r>
      <w:r w:rsidRPr="004A5D32">
        <w:rPr>
          <w:rStyle w:val="unicode"/>
          <w:rFonts w:ascii="Times New Roman" w:hAnsi="Times New Roman" w:cs="Times New Roman"/>
        </w:rPr>
        <w:fldChar w:fldCharType="separate"/>
      </w:r>
      <w:r w:rsidRPr="004A5D32">
        <w:rPr>
          <w:rStyle w:val="unicode"/>
          <w:rFonts w:ascii="Times New Roman" w:hAnsi="Times New Roman" w:cs="Times New Roman"/>
          <w:noProof/>
        </w:rPr>
        <w:t>(Jull et al., 2015; Corbett et al., 2022)</w:t>
      </w:r>
      <w:r w:rsidRPr="004A5D32">
        <w:rPr>
          <w:rStyle w:val="unicode"/>
          <w:rFonts w:ascii="Times New Roman" w:hAnsi="Times New Roman" w:cs="Times New Roman"/>
        </w:rPr>
        <w:fldChar w:fldCharType="end"/>
      </w:r>
      <w:r w:rsidRPr="004A5D32">
        <w:rPr>
          <w:rStyle w:val="unicode"/>
          <w:rFonts w:ascii="Times New Roman" w:hAnsi="Times New Roman" w:cs="Times New Roman"/>
        </w:rPr>
        <w:t xml:space="preserve">. However, uncertainty </w:t>
      </w:r>
      <w:proofErr w:type="gramStart"/>
      <w:r w:rsidRPr="004A5D32">
        <w:rPr>
          <w:rStyle w:val="unicode"/>
          <w:rFonts w:ascii="Times New Roman" w:hAnsi="Times New Roman" w:cs="Times New Roman"/>
        </w:rPr>
        <w:t>in excess of</w:t>
      </w:r>
      <w:proofErr w:type="gramEnd"/>
      <w:r w:rsidRPr="004A5D32">
        <w:rPr>
          <w:rStyle w:val="unicode"/>
          <w:rFonts w:ascii="Times New Roman" w:hAnsi="Times New Roman" w:cs="Times New Roman"/>
        </w:rPr>
        <w:t xml:space="preserve"> analytical uncertainty of the in situ ¹⁴C measurements (1849 years), exceeds the average in situ </w:t>
      </w:r>
      <w:r w:rsidRPr="004A5D32">
        <w:rPr>
          <w:rStyle w:val="unicode"/>
          <w:rFonts w:ascii="Times New Roman" w:hAnsi="Times New Roman" w:cs="Times New Roman"/>
          <w:vertAlign w:val="superscript"/>
        </w:rPr>
        <w:t>14</w:t>
      </w:r>
      <w:r w:rsidRPr="004A5D32">
        <w:rPr>
          <w:rStyle w:val="unicode"/>
          <w:rFonts w:ascii="Times New Roman" w:hAnsi="Times New Roman" w:cs="Times New Roman"/>
        </w:rPr>
        <w:t xml:space="preserve">C analytical uncertainty (641 years) reported for Kay Peak and scoria cone elevation-age datasets (Fig. </w:t>
      </w:r>
      <w:r>
        <w:rPr>
          <w:rStyle w:val="unicode"/>
          <w:rFonts w:ascii="Times New Roman" w:hAnsi="Times New Roman" w:cs="Times New Roman"/>
        </w:rPr>
        <w:t>S4</w:t>
      </w:r>
      <w:r w:rsidRPr="004A5D32">
        <w:rPr>
          <w:rStyle w:val="unicode"/>
          <w:rFonts w:ascii="Times New Roman" w:hAnsi="Times New Roman" w:cs="Times New Roman"/>
        </w:rPr>
        <w:t xml:space="preserve">). </w:t>
      </w:r>
    </w:p>
    <w:p w14:paraId="1DAFEC8C" w14:textId="746844F3" w:rsidR="004A5D32" w:rsidRPr="004A5D32" w:rsidRDefault="004A5D32" w:rsidP="004A5D32">
      <w:pPr>
        <w:spacing w:after="0"/>
        <w:ind w:firstLine="720"/>
        <w:rPr>
          <w:rStyle w:val="unicode"/>
          <w:rFonts w:ascii="Times New Roman" w:hAnsi="Times New Roman" w:cs="Times New Roman"/>
        </w:rPr>
      </w:pPr>
      <w:r w:rsidRPr="004A5D32">
        <w:rPr>
          <w:rStyle w:val="unicode"/>
          <w:rFonts w:ascii="Times New Roman" w:hAnsi="Times New Roman" w:cs="Times New Roman"/>
        </w:rPr>
        <w:t xml:space="preserve">Exposure ages for both in situ </w:t>
      </w:r>
      <w:r>
        <w:rPr>
          <w:rStyle w:val="unicode"/>
          <w:rFonts w:ascii="Times New Roman" w:hAnsi="Times New Roman" w:cs="Times New Roman"/>
          <w:vertAlign w:val="superscript"/>
        </w:rPr>
        <w:t>14</w:t>
      </w:r>
      <w:r w:rsidRPr="004A5D32">
        <w:rPr>
          <w:rStyle w:val="unicode"/>
          <w:rFonts w:ascii="Times New Roman" w:hAnsi="Times New Roman" w:cs="Times New Roman"/>
        </w:rPr>
        <w:t xml:space="preserve">C and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used in our bootstrapping comparison are from the same sample sites: Kay Peak and scoria cone. Very few are however paired </w:t>
      </w:r>
      <w:r w:rsidRPr="004A5D32">
        <w:rPr>
          <w:rFonts w:ascii="Times New Roman" w:hAnsi="Times New Roman" w:cs="Times New Roman"/>
          <w:vertAlign w:val="superscript"/>
        </w:rPr>
        <w:t>14</w:t>
      </w:r>
      <w:r w:rsidRPr="004A5D32">
        <w:rPr>
          <w:rFonts w:ascii="Times New Roman" w:hAnsi="Times New Roman" w:cs="Times New Roman"/>
        </w:rPr>
        <w:t>C-</w:t>
      </w:r>
      <w:r w:rsidRPr="004A5D32">
        <w:rPr>
          <w:rFonts w:ascii="Times New Roman" w:hAnsi="Times New Roman" w:cs="Times New Roman"/>
          <w:vertAlign w:val="superscript"/>
        </w:rPr>
        <w:t>10</w:t>
      </w:r>
      <w:r w:rsidRPr="004A5D32">
        <w:rPr>
          <w:rFonts w:ascii="Times New Roman" w:hAnsi="Times New Roman" w:cs="Times New Roman"/>
        </w:rPr>
        <w:t xml:space="preserve">Be </w:t>
      </w:r>
      <w:r w:rsidRPr="004A5D32">
        <w:rPr>
          <w:rStyle w:val="unicode"/>
          <w:rFonts w:ascii="Times New Roman" w:hAnsi="Times New Roman" w:cs="Times New Roman"/>
        </w:rPr>
        <w:t xml:space="preserve">measurements from the same sample (n = 3). Differences in geological scatter of individual samples from both datasets could explain some of the mismatch in excess scatter determined for in situ </w:t>
      </w:r>
      <w:r w:rsidRPr="004A5D32">
        <w:rPr>
          <w:rStyle w:val="unicode"/>
          <w:rFonts w:ascii="Times New Roman" w:hAnsi="Times New Roman" w:cs="Times New Roman"/>
          <w:vertAlign w:val="superscript"/>
        </w:rPr>
        <w:t>14</w:t>
      </w:r>
      <w:r w:rsidRPr="004A5D32">
        <w:rPr>
          <w:rStyle w:val="unicode"/>
          <w:rFonts w:ascii="Times New Roman" w:hAnsi="Times New Roman" w:cs="Times New Roman"/>
        </w:rPr>
        <w:t xml:space="preserve">C and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exposure ages. The inclusion of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exposure ages from Kay Peak that pre-date the Holocene would </w:t>
      </w:r>
      <w:r w:rsidRPr="004A5D32">
        <w:rPr>
          <w:rStyle w:val="unicode"/>
          <w:rFonts w:ascii="Times New Roman" w:hAnsi="Times New Roman" w:cs="Times New Roman"/>
        </w:rPr>
        <w:lastRenderedPageBreak/>
        <w:t xml:space="preserve">increase scatter in the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profile but represent a recognised source of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scatter from inheritance.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outliers are generally easier to identify and filter because inheritance can quite obviously increase the apparent exposure age relative to the main population. Scatter observed from the in situ </w:t>
      </w:r>
      <w:r w:rsidRPr="004A5D32">
        <w:rPr>
          <w:rStyle w:val="unicode"/>
          <w:rFonts w:ascii="Times New Roman" w:hAnsi="Times New Roman" w:cs="Times New Roman"/>
          <w:vertAlign w:val="superscript"/>
        </w:rPr>
        <w:t>14</w:t>
      </w:r>
      <w:r w:rsidRPr="004A5D32">
        <w:rPr>
          <w:rStyle w:val="unicode"/>
          <w:rFonts w:ascii="Times New Roman" w:hAnsi="Times New Roman" w:cs="Times New Roman"/>
        </w:rPr>
        <w:t xml:space="preserve">C ages is however large relative to the total amount of inheritance or post-depositional disturbance typically detected in an in situ </w:t>
      </w:r>
      <w:r w:rsidRPr="004A5D32">
        <w:rPr>
          <w:rStyle w:val="unicode"/>
          <w:rFonts w:ascii="Times New Roman" w:hAnsi="Times New Roman" w:cs="Times New Roman"/>
          <w:vertAlign w:val="superscript"/>
        </w:rPr>
        <w:t>14</w:t>
      </w:r>
      <w:r w:rsidRPr="004A5D32">
        <w:rPr>
          <w:rStyle w:val="unicode"/>
          <w:rFonts w:ascii="Times New Roman" w:hAnsi="Times New Roman" w:cs="Times New Roman"/>
        </w:rPr>
        <w:t xml:space="preserve">C measurement due to the short-half-life mitigating for inheritance over multiple glaciations. The removal of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outliers with inheritance decreases the elevation range of samples used for the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Be dataset (180</w:t>
      </w:r>
      <w:r w:rsidRPr="004A5D32">
        <w:rPr>
          <w:rFonts w:ascii="Times New Roman" w:hAnsi="Times New Roman" w:cs="Times New Roman"/>
        </w:rPr>
        <w:t>–</w:t>
      </w:r>
      <w:r w:rsidRPr="004A5D32">
        <w:rPr>
          <w:rStyle w:val="unicode"/>
          <w:rFonts w:ascii="Times New Roman" w:hAnsi="Times New Roman" w:cs="Times New Roman"/>
        </w:rPr>
        <w:t>240 m a. s. l.) relative to the in situ ¹⁴C dataset (150</w:t>
      </w:r>
      <w:r w:rsidRPr="004A5D32">
        <w:rPr>
          <w:rFonts w:ascii="Times New Roman" w:hAnsi="Times New Roman" w:cs="Times New Roman"/>
        </w:rPr>
        <w:t>–</w:t>
      </w:r>
      <w:r w:rsidRPr="004A5D32">
        <w:rPr>
          <w:rStyle w:val="unicode"/>
          <w:rFonts w:ascii="Times New Roman" w:hAnsi="Times New Roman" w:cs="Times New Roman"/>
        </w:rPr>
        <w:t xml:space="preserve">350 m a. s. l.). Nevertheless, the difference of ~ 1800 years of excess scatter beyond analytical uncertainty for the in situ ¹⁴C exposure age dataset relative to </w:t>
      </w:r>
      <w:r w:rsidRPr="004A5D32">
        <w:rPr>
          <w:rStyle w:val="unicode"/>
          <w:rFonts w:ascii="Times New Roman" w:hAnsi="Times New Roman" w:cs="Times New Roman"/>
          <w:vertAlign w:val="superscript"/>
        </w:rPr>
        <w:t>10</w:t>
      </w:r>
      <w:r w:rsidRPr="004A5D32">
        <w:rPr>
          <w:rStyle w:val="unicode"/>
          <w:rFonts w:ascii="Times New Roman" w:hAnsi="Times New Roman" w:cs="Times New Roman"/>
        </w:rPr>
        <w:t xml:space="preserve">Be exposure age dataset is still significant. </w:t>
      </w:r>
    </w:p>
    <w:p w14:paraId="011278A7" w14:textId="77777777" w:rsidR="004A5D32" w:rsidRPr="004A5D32" w:rsidRDefault="004A5D32" w:rsidP="004A5D32">
      <w:pPr>
        <w:spacing w:after="0"/>
        <w:ind w:firstLine="720"/>
        <w:rPr>
          <w:rStyle w:val="unicode"/>
          <w:rFonts w:ascii="Times New Roman" w:hAnsi="Times New Roman" w:cs="Times New Roman"/>
        </w:rPr>
      </w:pPr>
      <w:r w:rsidRPr="00CD696B">
        <w:rPr>
          <w:rFonts w:ascii="Times New Roman" w:hAnsi="Times New Roman" w:cs="Times New Roman"/>
        </w:rPr>
        <w:t xml:space="preserve">To summarise, the </w:t>
      </w:r>
      <w:bookmarkStart w:id="8" w:name="_Hlk181968505"/>
      <w:r w:rsidRPr="00CD696B">
        <w:rPr>
          <w:rFonts w:ascii="Times New Roman" w:hAnsi="Times New Roman" w:cs="Times New Roman"/>
        </w:rPr>
        <w:t xml:space="preserve">in situ </w:t>
      </w:r>
      <w:r w:rsidRPr="00CD696B">
        <w:rPr>
          <w:rFonts w:ascii="Times New Roman" w:hAnsi="Times New Roman" w:cs="Times New Roman"/>
          <w:vertAlign w:val="superscript"/>
        </w:rPr>
        <w:t>14</w:t>
      </w:r>
      <w:r w:rsidRPr="00CD696B">
        <w:rPr>
          <w:rFonts w:ascii="Times New Roman" w:hAnsi="Times New Roman" w:cs="Times New Roman"/>
        </w:rPr>
        <w:t xml:space="preserve">C and </w:t>
      </w:r>
      <w:r w:rsidRPr="00CD696B">
        <w:rPr>
          <w:rFonts w:ascii="Times New Roman" w:hAnsi="Times New Roman" w:cs="Times New Roman"/>
          <w:vertAlign w:val="superscript"/>
        </w:rPr>
        <w:t>10</w:t>
      </w:r>
      <w:r w:rsidRPr="00CD696B">
        <w:rPr>
          <w:rFonts w:ascii="Times New Roman" w:hAnsi="Times New Roman" w:cs="Times New Roman"/>
        </w:rPr>
        <w:t xml:space="preserve">Be chronologies are broadly similar with respect to the timing of deglaciation, implying they are equally accurate. There is, however, a significant amount of scatter in the distribution of in situ </w:t>
      </w:r>
      <w:r w:rsidRPr="00CD696B">
        <w:rPr>
          <w:rFonts w:ascii="Times New Roman" w:hAnsi="Times New Roman" w:cs="Times New Roman"/>
          <w:vertAlign w:val="superscript"/>
        </w:rPr>
        <w:t>14</w:t>
      </w:r>
      <w:r w:rsidRPr="00CD696B">
        <w:rPr>
          <w:rFonts w:ascii="Times New Roman" w:hAnsi="Times New Roman" w:cs="Times New Roman"/>
        </w:rPr>
        <w:t xml:space="preserve">C exposure ages that cannot be accounted for by the nominal 6 % 1σ internal measurement uncertainty for in situ </w:t>
      </w:r>
      <w:r w:rsidRPr="00CD696B">
        <w:rPr>
          <w:rFonts w:ascii="Times New Roman" w:hAnsi="Times New Roman" w:cs="Times New Roman"/>
          <w:vertAlign w:val="superscript"/>
        </w:rPr>
        <w:t>14</w:t>
      </w:r>
      <w:r w:rsidRPr="00CD696B">
        <w:rPr>
          <w:rFonts w:ascii="Times New Roman" w:hAnsi="Times New Roman" w:cs="Times New Roman"/>
        </w:rPr>
        <w:t xml:space="preserve">C adopted in many studies </w:t>
      </w:r>
      <w:r w:rsidRPr="00CD696B">
        <w:rPr>
          <w:rFonts w:ascii="Times New Roman" w:hAnsi="Times New Roman" w:cs="Times New Roman"/>
        </w:rPr>
        <w:fldChar w:fldCharType="begin" w:fldLock="1"/>
      </w:r>
      <w:r w:rsidRPr="00CD696B">
        <w:rPr>
          <w:rFonts w:ascii="Times New Roman" w:hAnsi="Times New Roman" w:cs="Times New Roman"/>
        </w:rPr>
        <w:instrText>ADDIN CSL_CITATION {"citationItems":[{"id":"ITEM-1","itemData":{"DOI":"10.2475/04.2019.01","author":[{"dropping-particle":"","family":"Balco","given":"Greg","non-dropping-particle":"","parse-names":false,"suffix":""},{"dropping-particle":"","family":"Todd","given":"Claire","non-dropping-particle":"","parse-names":false,"suffix":""},{"dropping-particle":"","family":"Goehring","given":"Brent M","non-dropping-particle":"","parse-names":false,"suffix":""},{"dropping-particle":"","family":"Moening-swanson","given":"Isaac","non-dropping-particle":"","parse-names":false,"suffix":""},{"dropping-particle":"","family":"Nichols","given":"Keir","non-dropping-particle":"","parse-names":false,"suffix":""}],"container-title":"American Journal of Science","id":"ITEM-1","issue":"April","issued":{"date-parts":[["2019"]]},"page":"255-286","title":"Glacial geology and cosmogenic-nuclide exposure ages from the Tucker Glacier - Whitehall Glacier confluence, Northern Victoria Land, Antarctica","type":"article-journal","volume":"319"},"uris":["http://www.mendeley.com/documents/?uuid=9fa9f5c4-541c-4ff7-b08d-45b71054e290"]},{"id":"ITEM-2","itemData":{"DOI":"10.5194/tc-13-2935-2019","abstract":"We describe new Last Glacial Maximum (LGM) ice thickness constraints for three locations spanning the Weddell Sea Embayment (WSE) of Antarctica. Samples collected from the Shackleton Range, Pensacola Mountains, and the Lassiter Coast constrain the LGM thickness of the Slessor Glacier, Foundation Ice Stream, and grounded ice proximal to the modern Ronne Ice Shelf edge on the Antarctic Peninsula , respectively. Previous attempts to reconstruct LGM-to-present ice thickness changes around the WSE used measurements of long-lived cosmogenic nuclides, primarily 10 Be. An absence of post-LGM apparent exposure ages at many sites led to LGM thickness reconstructions that were spatially highly variable and inconsistent with flow line modelling. Estimates for the contribution of the ice sheet occupying the WSE at the LGM to global sea level since deglaciation vary by an order of magnitude, from 1.4 to 14.1 m of sea level equivalent. Here we use a short-lived cosmogenic nuclide, in situ-produced 14 C, which is less susceptible to inheritance problems than 10 Be and other long-lived nuclides. We use in situ 14 C to evaluate the possibility that sites with no post-LGM exposure ages are biased by cosmogenic nuclide inheritance due to surface preservation by cold-based ice and non-deposition of LGM-aged drift. Our measurements show that the Slessor Glacier was between 310 and up to 655 m thicker than present at the LGM. The Foundation Ice Stream was at least 800 m thicker, and ice on the Lassiter Coast was at least 385 m thicker than present at the LGM. With evidence for LGM thickening at all of our study sites, our in situ 14 C measurements indicate that the long-lived nuclide measurements of previous studies were influenced by cosmogenic nuclide inheritance. Our inferred LGM configuration, which is primarily based on minimum ice thickness constraints and thus does not constrain an upper limit, indicates a relatively modest contribution to sea level rise since the LGM of &lt; 4.6 m, and possibly as little as &lt; 1.5 m.","author":[{"dropping-particle":"","family":"Nichols","given":"Keir A","non-dropping-particle":"","parse-names":false,"suffix":""},{"dropping-particle":"","family":"Goehring","given":"Brent M","non-dropping-particle":"","parse-names":false,"suffix":""},{"dropping-particle":"","family":"Balco","given":"Greg","non-dropping-particle":"","parse-names":false,"suffix":""},{"dropping-particle":"","family":"Johnson","given":"Joanne S","non-dropping-particle":"","parse-names":false,"suffix":""},{"dropping-particle":"","family":"Hein","given":"Andrew S","non-dropping-particle":"","parse-names":false,"suffix":""},{"dropping-particle":"","family":"Todd","given":"Claire","non-dropping-particle":"","parse-names":false,"suffix":""}],"container-title":"The Cryosphere","id":"ITEM-2","issued":{"date-parts":[["2019"]]},"page":"2935 - 2951","title":"New Last Glacial Maximum ice thickness constraints for the Weddell Sea Embayment, Antarctica","type":"article-journal","volume":"13"},"uris":["http://www.mendeley.com/documents/?uuid=44b95754-bb01-358f-a3b6-c6d936df3605"]}],"mendeley":{"formattedCitation":"(Balco et al., 2019; Nichols et al., 2019)","manualFormatting":"(e.g., Balco et al., 2019; Nichols et al., 2019)","plainTextFormattedCitation":"(Balco et al., 2019; Nichols et al., 2019)","previouslyFormattedCitation":"(Balco et al., 2019; Nichols et al., 2019)"},"properties":{"noteIndex":0},"schema":"https://github.com/citation-style-language/schema/raw/master/csl-citation.json"}</w:instrText>
      </w:r>
      <w:r w:rsidRPr="00CD696B">
        <w:rPr>
          <w:rFonts w:ascii="Times New Roman" w:hAnsi="Times New Roman" w:cs="Times New Roman"/>
        </w:rPr>
        <w:fldChar w:fldCharType="separate"/>
      </w:r>
      <w:r w:rsidRPr="00CD696B">
        <w:rPr>
          <w:rFonts w:ascii="Times New Roman" w:hAnsi="Times New Roman" w:cs="Times New Roman"/>
          <w:noProof/>
        </w:rPr>
        <w:t>(e.g., Balco et al., 2019; Nichols et al., 2019)</w:t>
      </w:r>
      <w:r w:rsidRPr="00CD696B">
        <w:rPr>
          <w:rFonts w:ascii="Times New Roman" w:hAnsi="Times New Roman" w:cs="Times New Roman"/>
        </w:rPr>
        <w:fldChar w:fldCharType="end"/>
      </w:r>
      <w:r w:rsidRPr="00CD696B">
        <w:rPr>
          <w:rFonts w:ascii="Times New Roman" w:hAnsi="Times New Roman" w:cs="Times New Roman"/>
        </w:rPr>
        <w:t xml:space="preserve">. In contrast, uncertainty in </w:t>
      </w:r>
      <w:r w:rsidRPr="00CD696B">
        <w:rPr>
          <w:rFonts w:ascii="Times New Roman" w:hAnsi="Times New Roman" w:cs="Times New Roman"/>
          <w:vertAlign w:val="superscript"/>
        </w:rPr>
        <w:t>10</w:t>
      </w:r>
      <w:r w:rsidRPr="00CD696B">
        <w:rPr>
          <w:rFonts w:ascii="Times New Roman" w:hAnsi="Times New Roman" w:cs="Times New Roman"/>
        </w:rPr>
        <w:t xml:space="preserve">Be analytical measurements can account for the scatter observed in the distribution of Holocene </w:t>
      </w:r>
      <w:r w:rsidRPr="00CD696B">
        <w:rPr>
          <w:rFonts w:ascii="Times New Roman" w:hAnsi="Times New Roman" w:cs="Times New Roman"/>
          <w:vertAlign w:val="superscript"/>
        </w:rPr>
        <w:t>10</w:t>
      </w:r>
      <w:r w:rsidRPr="00CD696B">
        <w:rPr>
          <w:rFonts w:ascii="Times New Roman" w:hAnsi="Times New Roman" w:cs="Times New Roman"/>
        </w:rPr>
        <w:t xml:space="preserve">Be ages at the site. The two possibilities are 1) </w:t>
      </w:r>
      <w:r w:rsidRPr="00CD696B">
        <w:rPr>
          <w:rStyle w:val="unicode"/>
          <w:rFonts w:ascii="Times New Roman" w:hAnsi="Times New Roman" w:cs="Times New Roman"/>
        </w:rPr>
        <w:t>unquantified geological scatter is disproportionately impacting in situ ¹⁴C exposure ages in the scoria cone and Kay Peak datasets and 2) in situ ¹⁴C measurement uncertainty is not fully accounting for uncertainties incorporated during sample preparation</w:t>
      </w:r>
      <w:bookmarkEnd w:id="8"/>
      <w:r w:rsidRPr="00CD696B">
        <w:rPr>
          <w:rStyle w:val="unicode"/>
          <w:rFonts w:ascii="Times New Roman" w:hAnsi="Times New Roman" w:cs="Times New Roman"/>
        </w:rPr>
        <w:t>.</w:t>
      </w:r>
      <w:r w:rsidRPr="004A5D32">
        <w:rPr>
          <w:rStyle w:val="unicode"/>
          <w:rFonts w:ascii="Times New Roman" w:hAnsi="Times New Roman" w:cs="Times New Roman"/>
        </w:rPr>
        <w:t xml:space="preserve"> </w:t>
      </w:r>
    </w:p>
    <w:p w14:paraId="7E51E402" w14:textId="77777777" w:rsidR="00647D4E" w:rsidRDefault="00647D4E" w:rsidP="004A5D32">
      <w:pPr>
        <w:spacing w:after="0" w:line="360" w:lineRule="auto"/>
        <w:rPr>
          <w:rFonts w:ascii="Times New Roman" w:hAnsi="Times New Roman" w:cs="Times New Roman"/>
          <w:b/>
          <w:bCs/>
        </w:rPr>
      </w:pPr>
    </w:p>
    <w:p w14:paraId="08B40067" w14:textId="77777777" w:rsidR="00647D4E" w:rsidRDefault="00647D4E" w:rsidP="004A5D32">
      <w:pPr>
        <w:spacing w:after="0" w:line="360" w:lineRule="auto"/>
        <w:rPr>
          <w:rFonts w:ascii="Times New Roman" w:hAnsi="Times New Roman" w:cs="Times New Roman"/>
          <w:b/>
          <w:bCs/>
        </w:rPr>
      </w:pPr>
    </w:p>
    <w:p w14:paraId="3851EB9F" w14:textId="77777777" w:rsidR="00647D4E" w:rsidRDefault="00647D4E" w:rsidP="004A5D32">
      <w:pPr>
        <w:spacing w:after="0" w:line="360" w:lineRule="auto"/>
        <w:rPr>
          <w:rFonts w:ascii="Times New Roman" w:hAnsi="Times New Roman" w:cs="Times New Roman"/>
          <w:b/>
          <w:bCs/>
        </w:rPr>
      </w:pPr>
    </w:p>
    <w:p w14:paraId="728D67CC" w14:textId="77777777" w:rsidR="00642FD3" w:rsidRDefault="00642FD3" w:rsidP="00AD3C69">
      <w:pPr>
        <w:spacing w:line="360" w:lineRule="auto"/>
        <w:rPr>
          <w:rFonts w:ascii="Times New Roman" w:hAnsi="Times New Roman" w:cs="Times New Roman"/>
          <w:b/>
          <w:bCs/>
        </w:rPr>
      </w:pPr>
    </w:p>
    <w:p w14:paraId="0136A02C" w14:textId="77777777" w:rsidR="005506D6" w:rsidRDefault="005506D6" w:rsidP="00AD3C69">
      <w:pPr>
        <w:spacing w:line="360" w:lineRule="auto"/>
        <w:rPr>
          <w:rFonts w:ascii="Times New Roman" w:hAnsi="Times New Roman" w:cs="Times New Roman"/>
          <w:b/>
          <w:bCs/>
        </w:rPr>
      </w:pPr>
    </w:p>
    <w:p w14:paraId="284F7CE3" w14:textId="77777777" w:rsidR="005506D6" w:rsidRDefault="005506D6" w:rsidP="00AD3C69">
      <w:pPr>
        <w:spacing w:line="360" w:lineRule="auto"/>
        <w:rPr>
          <w:rFonts w:ascii="Times New Roman" w:hAnsi="Times New Roman" w:cs="Times New Roman"/>
          <w:b/>
          <w:bCs/>
        </w:rPr>
      </w:pPr>
    </w:p>
    <w:p w14:paraId="10BC9A96" w14:textId="77777777" w:rsidR="005506D6" w:rsidRDefault="005506D6" w:rsidP="00AD3C69">
      <w:pPr>
        <w:spacing w:line="360" w:lineRule="auto"/>
        <w:rPr>
          <w:rFonts w:ascii="Times New Roman" w:hAnsi="Times New Roman" w:cs="Times New Roman"/>
          <w:b/>
          <w:bCs/>
        </w:rPr>
      </w:pPr>
    </w:p>
    <w:p w14:paraId="31C5D1F7" w14:textId="77777777" w:rsidR="005506D6" w:rsidRDefault="005506D6" w:rsidP="00AD3C69">
      <w:pPr>
        <w:spacing w:line="360" w:lineRule="auto"/>
        <w:rPr>
          <w:rFonts w:ascii="Times New Roman" w:hAnsi="Times New Roman" w:cs="Times New Roman"/>
          <w:b/>
          <w:bCs/>
        </w:rPr>
      </w:pPr>
    </w:p>
    <w:p w14:paraId="38F668CE" w14:textId="77777777" w:rsidR="005506D6" w:rsidRDefault="005506D6" w:rsidP="00AD3C69">
      <w:pPr>
        <w:spacing w:line="360" w:lineRule="auto"/>
        <w:rPr>
          <w:rFonts w:ascii="Times New Roman" w:hAnsi="Times New Roman" w:cs="Times New Roman"/>
          <w:b/>
          <w:bCs/>
        </w:rPr>
      </w:pPr>
    </w:p>
    <w:p w14:paraId="0B2708BC" w14:textId="77777777" w:rsidR="005506D6" w:rsidRDefault="005506D6" w:rsidP="00AD3C69">
      <w:pPr>
        <w:spacing w:line="360" w:lineRule="auto"/>
        <w:rPr>
          <w:rFonts w:ascii="Times New Roman" w:hAnsi="Times New Roman" w:cs="Times New Roman"/>
          <w:b/>
          <w:bCs/>
        </w:rPr>
      </w:pPr>
    </w:p>
    <w:p w14:paraId="3951CAD5" w14:textId="77777777" w:rsidR="005506D6" w:rsidRDefault="005506D6" w:rsidP="00AD3C69">
      <w:pPr>
        <w:spacing w:line="360" w:lineRule="auto"/>
        <w:rPr>
          <w:rFonts w:ascii="Times New Roman" w:hAnsi="Times New Roman" w:cs="Times New Roman"/>
          <w:b/>
          <w:bCs/>
        </w:rPr>
      </w:pPr>
    </w:p>
    <w:p w14:paraId="26BBCFA8" w14:textId="77777777" w:rsidR="005506D6" w:rsidRDefault="005506D6" w:rsidP="00AD3C69">
      <w:pPr>
        <w:spacing w:line="360" w:lineRule="auto"/>
        <w:rPr>
          <w:rFonts w:ascii="Times New Roman" w:hAnsi="Times New Roman" w:cs="Times New Roman"/>
          <w:b/>
          <w:bCs/>
        </w:rPr>
      </w:pPr>
    </w:p>
    <w:p w14:paraId="71E27E07" w14:textId="77777777" w:rsidR="005506D6" w:rsidRDefault="005506D6" w:rsidP="00AD3C69">
      <w:pPr>
        <w:spacing w:line="360" w:lineRule="auto"/>
        <w:rPr>
          <w:rFonts w:ascii="Times New Roman" w:hAnsi="Times New Roman" w:cs="Times New Roman"/>
          <w:b/>
          <w:bCs/>
        </w:rPr>
      </w:pPr>
    </w:p>
    <w:p w14:paraId="61B140F5" w14:textId="77777777" w:rsidR="005506D6" w:rsidRDefault="005506D6" w:rsidP="00AD3C69">
      <w:pPr>
        <w:spacing w:line="360" w:lineRule="auto"/>
        <w:rPr>
          <w:rFonts w:ascii="Times New Roman" w:hAnsi="Times New Roman" w:cs="Times New Roman"/>
          <w:b/>
          <w:bCs/>
        </w:rPr>
      </w:pPr>
    </w:p>
    <w:p w14:paraId="7EBD98AD" w14:textId="77777777" w:rsidR="005506D6" w:rsidRDefault="005506D6" w:rsidP="00AD3C69">
      <w:pPr>
        <w:spacing w:line="360" w:lineRule="auto"/>
        <w:rPr>
          <w:rFonts w:ascii="Times New Roman" w:hAnsi="Times New Roman" w:cs="Times New Roman"/>
          <w:b/>
          <w:bCs/>
        </w:rPr>
      </w:pPr>
    </w:p>
    <w:p w14:paraId="075F766C" w14:textId="77777777" w:rsidR="005506D6" w:rsidRDefault="005506D6" w:rsidP="00AD3C69">
      <w:pPr>
        <w:spacing w:line="360" w:lineRule="auto"/>
        <w:rPr>
          <w:rFonts w:ascii="Times New Roman" w:hAnsi="Times New Roman" w:cs="Times New Roman"/>
          <w:b/>
          <w:bCs/>
        </w:rPr>
      </w:pPr>
    </w:p>
    <w:p w14:paraId="0603181F" w14:textId="77777777" w:rsidR="005506D6" w:rsidRDefault="005506D6" w:rsidP="00AD3C69">
      <w:pPr>
        <w:spacing w:line="360" w:lineRule="auto"/>
        <w:rPr>
          <w:rFonts w:ascii="Times New Roman" w:hAnsi="Times New Roman" w:cs="Times New Roman"/>
          <w:b/>
          <w:bCs/>
        </w:rPr>
      </w:pPr>
    </w:p>
    <w:p w14:paraId="51DBB6BD" w14:textId="3361A4C6" w:rsidR="00DC1DE1" w:rsidRPr="00067527" w:rsidRDefault="00DC1DE1" w:rsidP="00AD3C69">
      <w:pPr>
        <w:spacing w:line="360" w:lineRule="auto"/>
        <w:rPr>
          <w:rFonts w:ascii="Times New Roman" w:hAnsi="Times New Roman" w:cs="Times New Roman"/>
          <w:b/>
          <w:bCs/>
        </w:rPr>
      </w:pPr>
      <w:r w:rsidRPr="00067527">
        <w:rPr>
          <w:rFonts w:ascii="Times New Roman" w:hAnsi="Times New Roman" w:cs="Times New Roman"/>
          <w:b/>
          <w:bCs/>
        </w:rPr>
        <w:lastRenderedPageBreak/>
        <w:t xml:space="preserve">Supplement </w:t>
      </w:r>
      <w:r w:rsidR="00067527" w:rsidRPr="00067527">
        <w:rPr>
          <w:rFonts w:ascii="Times New Roman" w:hAnsi="Times New Roman" w:cs="Times New Roman"/>
          <w:b/>
          <w:bCs/>
        </w:rPr>
        <w:t>S</w:t>
      </w:r>
      <w:r w:rsidR="00884167">
        <w:rPr>
          <w:rFonts w:ascii="Times New Roman" w:hAnsi="Times New Roman" w:cs="Times New Roman"/>
          <w:b/>
          <w:bCs/>
        </w:rPr>
        <w:t>3</w:t>
      </w:r>
      <w:r w:rsidRPr="00067527">
        <w:rPr>
          <w:rFonts w:ascii="Times New Roman" w:hAnsi="Times New Roman" w:cs="Times New Roman"/>
          <w:b/>
          <w:bCs/>
        </w:rPr>
        <w:t xml:space="preserve">: </w:t>
      </w:r>
      <w:r w:rsidR="009C6DD5">
        <w:rPr>
          <w:rFonts w:ascii="Times New Roman" w:hAnsi="Times New Roman" w:cs="Times New Roman"/>
          <w:b/>
          <w:bCs/>
        </w:rPr>
        <w:t>Assessment of Mt Murphy quartz separates impact on</w:t>
      </w:r>
      <w:r w:rsidRPr="00067527">
        <w:rPr>
          <w:rFonts w:ascii="Times New Roman" w:hAnsi="Times New Roman" w:cs="Times New Roman"/>
          <w:b/>
          <w:bCs/>
        </w:rPr>
        <w:t xml:space="preserve"> in situ ¹⁴C reproducibility</w:t>
      </w:r>
    </w:p>
    <w:p w14:paraId="74FE63D2" w14:textId="3A2ACF31" w:rsidR="00DC1DE1" w:rsidRPr="00DC1DE1" w:rsidRDefault="00DC1DE1" w:rsidP="00AD3C69">
      <w:pPr>
        <w:spacing w:line="360" w:lineRule="auto"/>
        <w:ind w:firstLine="720"/>
        <w:rPr>
          <w:rFonts w:ascii="Times New Roman" w:eastAsia="Aptos" w:hAnsi="Times New Roman" w:cs="Times New Roman"/>
          <w:sz w:val="20"/>
          <w:szCs w:val="20"/>
        </w:rPr>
      </w:pPr>
      <w:bookmarkStart w:id="9" w:name="_Hlk179289071"/>
      <w:r w:rsidRPr="00DC1DE1">
        <w:rPr>
          <w:rFonts w:ascii="Times New Roman" w:eastAsia="Aptos" w:hAnsi="Times New Roman" w:cs="Times New Roman"/>
          <w:sz w:val="20"/>
          <w:szCs w:val="20"/>
        </w:rPr>
        <w:t xml:space="preserve">Mineral elemental impurities which are not fully homogenised within a sample can lead to differences in measured nuclide concentrations, impacting reproducibility </w:t>
      </w:r>
      <w:r w:rsidRPr="00DC1DE1">
        <w:rPr>
          <w:rFonts w:ascii="Times New Roman" w:eastAsia="Aptos" w:hAnsi="Times New Roman" w:cs="Times New Roman"/>
          <w:sz w:val="20"/>
          <w:szCs w:val="20"/>
        </w:rPr>
        <w:fldChar w:fldCharType="begin" w:fldLock="1"/>
      </w:r>
      <w:r w:rsidRPr="00DC1DE1">
        <w:rPr>
          <w:rFonts w:ascii="Times New Roman" w:eastAsia="Aptos" w:hAnsi="Times New Roman" w:cs="Times New Roman"/>
          <w:sz w:val="20"/>
          <w:szCs w:val="20"/>
        </w:rPr>
        <w:instrText>ADDIN CSL_CITATION {"citationItems":[{"id":"ITEM-1","itemData":{"DOI":"10.1016/j.quageo.2022.101403","ISSN":"18711014","abstract":"Reference materials are key for assessing inter-laboratory variability and measurement quality, and for placing analytical uncertainty bounds on sample analyses. Here, we investigate four years of data resulting from repeated processing of the CRONUS-N reference material for cosmogenic 10Be and 26Al analyses. At University of Vermont, we prepared a CRONUS-N aliquot with most of our sample batches from 2013 to 2017; these reference material samples were then distributed to four different accelerator mass spectrometry facilities, yielding 73 10Be analyses and 58 26Al analyses. We determine CRONUS-N 10Be concentrations of (2.26 ± 0.14) x 105 atoms g−1 (n = 73, mean, 1 SD) and 26Al concentrations of (1.00 ± 0.08) x 106 atoms g−1 (n = 58, mean, 1 SD). We find a reproducibility of 6.3% for 10Be and 7.7% for 26Al (relative standard deviations). We also document highly variable 27Al and Mg concentrations and a 10Be dispersion twice as large as the mean AMS analytic uncertainty. Analyses of the CRONUS-N material with and without density separation demonstrate that non-quartz minerals are present in the material and have a large impact on measured concentrations of 27Al, 10Be, and impurities; these non-quartz minerals represent only a very small portion of the total mass (0.6–0.8%) but have a disproportionally large effect on the resulting data. Our results highlight the importance of completely removing all non-quartz mineral phases from samples prior to Be/Al extraction for the determination of in situ cosmogenic 10Be and 26Al concentrations.","author":[{"dropping-particle":"","family":"Corbett","given":"Lee B.","non-dropping-particle":"","parse-names":false,"suffix":""},{"dropping-particle":"","family":"Bierman","given":"Paul R.","non-dropping-particle":"","parse-names":false,"suffix":""},{"dropping-particle":"","family":"Brown","given":"Thomas A.","non-dropping-particle":"","parse-names":false,"suffix":""},{"dropping-particle":"","family":"Caffee","given":"Marc W.","non-dropping-particle":"","parse-names":false,"suffix":""},{"dropping-particle":"","family":"Fink","given":"David","non-dropping-particle":"","parse-names":false,"suffix":""},{"dropping-particle":"","family":"Freeman","given":"Stewart P.H.T.","non-dropping-particle":"","parse-names":false,"suffix":""},{"dropping-particle":"","family":"Hidy","given":"Alan J.","non-dropping-particle":"","parse-names":false,"suffix":""},{"dropping-particle":"","family":"Rood","given":"Dylan H.","non-dropping-particle":"","parse-names":false,"suffix":""},{"dropping-particle":"","family":"Wilcken","given":"Klaus M.","non-dropping-particle":"","parse-names":false,"suffix":""},{"dropping-particle":"","family":"Woodruff","given":"Thomas E.","non-dropping-particle":"","parse-names":false,"suffix":""}],"container-title":"Quaternary Geochronology","id":"ITEM-1","issued":{"date-parts":[["2022"]]},"page":"101403","publisher":"Elsevier B.V.","title":"Clean quartz matters for cosmogenic nuclide analyses: An exploration of the importance of sample purity using the CRONUS-N reference material","type":"article-journal","volume":"73"},"uris":["http://www.mendeley.com/documents/?uuid=309ea0ed-6420-41c0-8248-733529b73f01"]}],"mendeley":{"formattedCitation":"(Corbett et al., 2022)","plainTextFormattedCitation":"(Corbett et al., 2022)","previouslyFormattedCitation":"(Corbett et al., 2022)"},"properties":{"noteIndex":0},"schema":"https://github.com/citation-style-language/schema/raw/master/csl-citation.json"}</w:instrText>
      </w:r>
      <w:r w:rsidRPr="00DC1DE1">
        <w:rPr>
          <w:rFonts w:ascii="Times New Roman" w:eastAsia="Aptos" w:hAnsi="Times New Roman" w:cs="Times New Roman"/>
          <w:sz w:val="20"/>
          <w:szCs w:val="20"/>
        </w:rPr>
        <w:fldChar w:fldCharType="separate"/>
      </w:r>
      <w:r w:rsidRPr="00DC1DE1">
        <w:rPr>
          <w:rFonts w:ascii="Times New Roman" w:eastAsia="Aptos" w:hAnsi="Times New Roman" w:cs="Times New Roman"/>
          <w:noProof/>
          <w:sz w:val="20"/>
          <w:szCs w:val="20"/>
        </w:rPr>
        <w:t>(Corbett et al., 2022)</w:t>
      </w:r>
      <w:r w:rsidRPr="00DC1DE1">
        <w:rPr>
          <w:rFonts w:ascii="Times New Roman" w:eastAsia="Aptos" w:hAnsi="Times New Roman" w:cs="Times New Roman"/>
          <w:sz w:val="20"/>
          <w:szCs w:val="20"/>
        </w:rPr>
        <w:fldChar w:fldCharType="end"/>
      </w:r>
      <w:bookmarkEnd w:id="9"/>
      <w:r w:rsidRPr="00DC1DE1">
        <w:rPr>
          <w:rFonts w:ascii="Times New Roman" w:eastAsia="Aptos" w:hAnsi="Times New Roman" w:cs="Times New Roman"/>
          <w:sz w:val="20"/>
          <w:szCs w:val="20"/>
        </w:rPr>
        <w:t xml:space="preserve">.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production in silicates (such as quartz, typically sampled for </w:t>
      </w:r>
      <w:r w:rsidRPr="00DC1DE1">
        <w:rPr>
          <w:rFonts w:ascii="Times New Roman" w:eastAsia="Aptos" w:hAnsi="Times New Roman" w:cs="Times New Roman"/>
          <w:sz w:val="20"/>
          <w:szCs w:val="20"/>
          <w:vertAlign w:val="superscript"/>
        </w:rPr>
        <w:t>10</w:t>
      </w:r>
      <w:r w:rsidRPr="00DC1DE1">
        <w:rPr>
          <w:rFonts w:ascii="Times New Roman" w:eastAsia="Aptos" w:hAnsi="Times New Roman" w:cs="Times New Roman"/>
          <w:sz w:val="20"/>
          <w:szCs w:val="20"/>
        </w:rPr>
        <w:t xml:space="preserve">Be, </w:t>
      </w:r>
      <w:r w:rsidRPr="00DC1DE1">
        <w:rPr>
          <w:rFonts w:ascii="Times New Roman" w:eastAsia="Aptos" w:hAnsi="Times New Roman" w:cs="Times New Roman"/>
          <w:sz w:val="20"/>
          <w:szCs w:val="20"/>
          <w:vertAlign w:val="superscript"/>
        </w:rPr>
        <w:t>26</w:t>
      </w:r>
      <w:r w:rsidRPr="00DC1DE1">
        <w:rPr>
          <w:rFonts w:ascii="Times New Roman" w:eastAsia="Aptos" w:hAnsi="Times New Roman" w:cs="Times New Roman"/>
          <w:sz w:val="20"/>
          <w:szCs w:val="20"/>
        </w:rPr>
        <w:t xml:space="preserve">Al and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measurements) at SLHL is dominated by oxygen spallation accounting for &gt; 90 % at SLHL, but also occurs from spallation of Si, Mg, Al and Na </w:t>
      </w:r>
      <w:r w:rsidRPr="00DC1DE1">
        <w:rPr>
          <w:rFonts w:ascii="Times New Roman" w:eastAsia="Aptos" w:hAnsi="Times New Roman" w:cs="Times New Roman"/>
          <w:sz w:val="20"/>
          <w:szCs w:val="20"/>
        </w:rPr>
        <w:fldChar w:fldCharType="begin" w:fldLock="1"/>
      </w:r>
      <w:r w:rsidRPr="00DC1DE1">
        <w:rPr>
          <w:rFonts w:ascii="Times New Roman" w:eastAsia="Aptos" w:hAnsi="Times New Roman" w:cs="Times New Roman"/>
          <w:sz w:val="20"/>
          <w:szCs w:val="20"/>
        </w:rPr>
        <w:instrText xml:space="preserve">ADDIN CSL_CITATION {"citationItems":[{"id":"ITEM-1","itemData":{"DOI":"10.5194/gchron-5-21-2023","abstract":"Abstract. Over the last 30 years, in situ cosmogenic nuclides (CNs) have revolutionized surficial processes and Quaternary geologic studies. Commonly measured CNs extracted from common mineral quartz have long half-lives (e.g., 10Be, 26Al) and have been applied over timescales from a few hundred years to millions of years. However, their long half-lives also render them largely insensitive to complex histories of burial and exposure of less than ca. 100 kyr. On the other hand, in situ cosmogenic 14C (in situ 14C) is also produced in quartz, yet its 5.7 kyr half-life renders it very sensitive to complex exposure histories during the last </w:instrText>
      </w:r>
      <w:r w:rsidRPr="00DC1DE1">
        <w:rPr>
          <w:rFonts w:ascii="Cambria Math" w:eastAsia="Aptos" w:hAnsi="Cambria Math" w:cs="Cambria Math"/>
          <w:sz w:val="20"/>
          <w:szCs w:val="20"/>
        </w:rPr>
        <w:instrText>∼</w:instrText>
      </w:r>
      <w:r w:rsidRPr="00DC1DE1">
        <w:rPr>
          <w:rFonts w:ascii="Times New Roman" w:eastAsia="Aptos" w:hAnsi="Times New Roman" w:cs="Times New Roman"/>
          <w:sz w:val="20"/>
          <w:szCs w:val="20"/>
        </w:rPr>
        <w:instrText>25 ka, a particularly unique and powerful tool when analyzed in concert with long-lived nuclides. In situ 14C measurements are currently limited to relatively coarse-grained (typically sand-sized or larger, crushed or sieved to sand) quartz-bearing rock types, but while such rocks are common, they are not ubiquitous. The ability to extract and interpret in situ 14C from quartz-poor and fine-grained rocks would thus open its unique applications to a broader array of landscape elements and environments. As a first step toward this goal, a robust means of interpreting in situ 14C concentrations derived from rocks and minerals spanning wider compositional and textural ranges will be crucial. We have thus developed a MATLAB®-based software framework to quantify spallogenic production of in situ 14C from a broad range of silicate rock and mineral compositions, including rocks too fine grained to achieve pure quartz separates. As expected from prior work, production from oxygen dominates the overall in situ 14C signal, accounting for &gt;90 % of production for common silicate minerals and six different rock types at sea level and high latitudes (SLHL). This work confirms that Si, Al, and Mg are important targets but also predicts greater production from Na than from those elements. The compositionally dependent production rates for rock and mineral compositions investigated here are typically lower than that of quartz, although that predicted for albite is comparable to quartz, reflecting the significance of production from Na. Predicted production rates drop as compositions become more mafic (particularly Fe-rich). This framework should thus be a useful tool in efforts to broaden the utility of in situ 14C to quartz-poor and fine-grained rock types, but future improvements in measured and modeled excitation functions would be be…","author":[{"dropping-particle":"","family":"Koester","given":"Alexandria J.","non-dropping-particle":"","parse-names":false,"suffix":""},{"dropping-particle":"","family":"Lifton","given":"Nathaniel A.","non-dropping-particle":"","parse-names":false,"suffix":""}],"container-title":"Geochronology","id":"ITEM-1","issue":"1","issued":{"date-parts":[["2023"]]},"page":"21-33","title":"Technical note: A software framework for calculating compositionally dependent in situ ¹⁴C production rates","type":"article-journal","volume":"5"},"uris":["http://www.mendeley.com/documents/?uuid=c704b7dd-6444-4c3c-92c5-d356b9115082"]}],"mendeley":{"formattedCitation":"(Koester and Lifton, 2023)","plainTextFormattedCitation":"(Koester and Lifton, 2023)","previouslyFormattedCitation":"(Koester and Lifton, 2023)"},"properties":{"noteIndex":0},"schema":"https://github.com/citation-style-language/schema/raw/master/csl-citation.json"}</w:instrText>
      </w:r>
      <w:r w:rsidRPr="00DC1DE1">
        <w:rPr>
          <w:rFonts w:ascii="Times New Roman" w:eastAsia="Aptos" w:hAnsi="Times New Roman" w:cs="Times New Roman"/>
          <w:sz w:val="20"/>
          <w:szCs w:val="20"/>
        </w:rPr>
        <w:fldChar w:fldCharType="separate"/>
      </w:r>
      <w:r w:rsidRPr="00DC1DE1">
        <w:rPr>
          <w:rFonts w:ascii="Times New Roman" w:eastAsia="Aptos" w:hAnsi="Times New Roman" w:cs="Times New Roman"/>
          <w:noProof/>
          <w:sz w:val="20"/>
          <w:szCs w:val="20"/>
        </w:rPr>
        <w:t>(Koester and Lifton, 2023)</w:t>
      </w:r>
      <w:r w:rsidRPr="00DC1DE1">
        <w:rPr>
          <w:rFonts w:ascii="Times New Roman" w:eastAsia="Aptos" w:hAnsi="Times New Roman" w:cs="Times New Roman"/>
          <w:sz w:val="20"/>
          <w:szCs w:val="20"/>
        </w:rPr>
        <w:fldChar w:fldCharType="end"/>
      </w:r>
      <w:r w:rsidRPr="00DC1DE1">
        <w:rPr>
          <w:rFonts w:ascii="Times New Roman" w:eastAsia="Aptos" w:hAnsi="Times New Roman" w:cs="Times New Roman"/>
          <w:sz w:val="20"/>
          <w:szCs w:val="20"/>
        </w:rPr>
        <w:t xml:space="preserve">.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spallogenic production rates for Mg-rich silicates such as olivine, are 7</w:t>
      </w:r>
      <w:r w:rsidRPr="00DC1DE1">
        <w:rPr>
          <w:rFonts w:ascii="Times New Roman" w:eastAsia="Aptos" w:hAnsi="Times New Roman" w:cs="Times New Roman"/>
          <w:b/>
          <w:bCs/>
          <w:color w:val="454545"/>
          <w:sz w:val="20"/>
          <w:szCs w:val="20"/>
          <w:shd w:val="clear" w:color="auto" w:fill="FFFFFF"/>
        </w:rPr>
        <w:t>–</w:t>
      </w:r>
      <w:r w:rsidRPr="00DC1DE1">
        <w:rPr>
          <w:rFonts w:ascii="Times New Roman" w:eastAsia="Aptos" w:hAnsi="Times New Roman" w:cs="Times New Roman"/>
          <w:sz w:val="20"/>
          <w:szCs w:val="20"/>
        </w:rPr>
        <w:t>10 % lower than pure quartz, while Al-rich minerals such as K and Ca feldspars have production rates 12</w:t>
      </w:r>
      <w:r w:rsidRPr="00DC1DE1">
        <w:rPr>
          <w:rFonts w:ascii="Times New Roman" w:eastAsia="Aptos" w:hAnsi="Times New Roman" w:cs="Times New Roman"/>
          <w:b/>
          <w:bCs/>
          <w:color w:val="454545"/>
          <w:sz w:val="20"/>
          <w:szCs w:val="20"/>
          <w:shd w:val="clear" w:color="auto" w:fill="FFFFFF"/>
        </w:rPr>
        <w:t>–</w:t>
      </w:r>
      <w:r w:rsidRPr="00DC1DE1">
        <w:rPr>
          <w:rFonts w:ascii="Times New Roman" w:eastAsia="Aptos" w:hAnsi="Times New Roman" w:cs="Times New Roman"/>
          <w:sz w:val="20"/>
          <w:szCs w:val="20"/>
        </w:rPr>
        <w:t xml:space="preserve">13 % below quartz.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production rates for Fe bearing minerals such as fayalite (Fe</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SiO</w:t>
      </w:r>
      <w:r w:rsidRPr="00DC1DE1">
        <w:rPr>
          <w:rFonts w:ascii="Times New Roman" w:eastAsia="Aptos" w:hAnsi="Times New Roman" w:cs="Times New Roman"/>
          <w:sz w:val="20"/>
          <w:szCs w:val="20"/>
          <w:vertAlign w:val="subscript"/>
        </w:rPr>
        <w:t>4</w:t>
      </w:r>
      <w:r w:rsidRPr="00DC1DE1">
        <w:rPr>
          <w:rFonts w:ascii="Times New Roman" w:eastAsia="Aptos" w:hAnsi="Times New Roman" w:cs="Times New Roman"/>
          <w:sz w:val="20"/>
          <w:szCs w:val="20"/>
        </w:rPr>
        <w:t xml:space="preserve">) are as much as 41 % lower than pure quartz </w:t>
      </w:r>
      <w:r w:rsidRPr="00DC1DE1">
        <w:rPr>
          <w:rFonts w:ascii="Times New Roman" w:eastAsia="Aptos" w:hAnsi="Times New Roman" w:cs="Times New Roman"/>
          <w:sz w:val="20"/>
          <w:szCs w:val="20"/>
        </w:rPr>
        <w:fldChar w:fldCharType="begin" w:fldLock="1"/>
      </w:r>
      <w:r w:rsidRPr="00DC1DE1">
        <w:rPr>
          <w:rFonts w:ascii="Times New Roman" w:eastAsia="Aptos" w:hAnsi="Times New Roman" w:cs="Times New Roman"/>
          <w:sz w:val="20"/>
          <w:szCs w:val="20"/>
        </w:rPr>
        <w:instrText xml:space="preserve">ADDIN CSL_CITATION {"citationItems":[{"id":"ITEM-1","itemData":{"DOI":"10.5194/gchron-5-21-2023","abstract":"Abstract. Over the last 30 years, in situ cosmogenic nuclides (CNs) have revolutionized surficial processes and Quaternary geologic studies. Commonly measured CNs extracted from common mineral quartz have long half-lives (e.g., 10Be, 26Al) and have been applied over timescales from a few hundred years to millions of years. However, their long half-lives also render them largely insensitive to complex histories of burial and exposure of less than ca. 100 kyr. On the other hand, in situ cosmogenic 14C (in situ 14C) is also produced in quartz, yet its 5.7 kyr half-life renders it very sensitive to complex exposure histories during the last </w:instrText>
      </w:r>
      <w:r w:rsidRPr="00DC1DE1">
        <w:rPr>
          <w:rFonts w:ascii="Cambria Math" w:eastAsia="Aptos" w:hAnsi="Cambria Math" w:cs="Cambria Math"/>
          <w:sz w:val="20"/>
          <w:szCs w:val="20"/>
        </w:rPr>
        <w:instrText>∼</w:instrText>
      </w:r>
      <w:r w:rsidRPr="00DC1DE1">
        <w:rPr>
          <w:rFonts w:ascii="Times New Roman" w:eastAsia="Aptos" w:hAnsi="Times New Roman" w:cs="Times New Roman"/>
          <w:sz w:val="20"/>
          <w:szCs w:val="20"/>
        </w:rPr>
        <w:instrText>25 ka, a particularly unique and powerful tool when analyzed in concert with long-lived nuclides. In situ 14C measurements are currently limited to relatively coarse-grained (typically sand-sized or larger, crushed or sieved to sand) quartz-bearing rock types, but while such rocks are common, they are not ubiquitous. The ability to extract and interpret in situ 14C from quartz-poor and fine-grained rocks would thus open its unique applications to a broader array of landscape elements and environments. As a first step toward this goal, a robust means of interpreting in situ 14C concentrations derived from rocks and minerals spanning wider compositional and textural ranges will be crucial. We have thus developed a MATLAB®-based software framework to quantify spallogenic production of in situ 14C from a broad range of silicate rock and mineral compositions, including rocks too fine grained to achieve pure quartz separates. As expected from prior work, production from oxygen dominates the overall in situ 14C signal, accounting for &gt;90 % of production for common silicate minerals and six different rock types at sea level and high latitudes (SLHL). This work confirms that Si, Al, and Mg are important targets but also predicts greater production from Na than from those elements. The compositionally dependent production rates for rock and mineral compositions investigated here are typically lower than that of quartz, although that predicted for albite is comparable to quartz, reflecting the significance of production from Na. Predicted production rates drop as compositions become more mafic (particularly Fe-rich). This framework should thus be a useful tool in efforts to broaden the utility of in situ 14C to quartz-poor and fine-grained rock types, but future improvements in measured and modeled excitation functions would be be…","author":[{"dropping-particle":"","family":"Koester","given":"Alexandria J.","non-dropping-particle":"","parse-names":false,"suffix":""},{"dropping-particle":"","family":"Lifton","given":"Nathaniel A.","non-dropping-particle":"","parse-names":false,"suffix":""}],"container-title":"Geochronology","id":"ITEM-1","issue":"1","issued":{"date-parts":[["2023"]]},"page":"21-33","title":"Technical note: A software framework for calculating compositionally dependent in situ ¹⁴C production rates","type":"article-journal","volume":"5"},"uris":["http://www.mendeley.com/documents/?uuid=c704b7dd-6444-4c3c-92c5-d356b9115082"]}],"mendeley":{"formattedCitation":"(Koester and Lifton, 2023)","plainTextFormattedCitation":"(Koester and Lifton, 2023)","previouslyFormattedCitation":"(Koester and Lifton, 2023)"},"properties":{"noteIndex":0},"schema":"https://github.com/citation-style-language/schema/raw/master/csl-citation.json"}</w:instrText>
      </w:r>
      <w:r w:rsidRPr="00DC1DE1">
        <w:rPr>
          <w:rFonts w:ascii="Times New Roman" w:eastAsia="Aptos" w:hAnsi="Times New Roman" w:cs="Times New Roman"/>
          <w:sz w:val="20"/>
          <w:szCs w:val="20"/>
        </w:rPr>
        <w:fldChar w:fldCharType="separate"/>
      </w:r>
      <w:r w:rsidRPr="00DC1DE1">
        <w:rPr>
          <w:rFonts w:ascii="Times New Roman" w:eastAsia="Aptos" w:hAnsi="Times New Roman" w:cs="Times New Roman"/>
          <w:noProof/>
          <w:sz w:val="20"/>
          <w:szCs w:val="20"/>
        </w:rPr>
        <w:t>(Koester and Lifton, 2023)</w:t>
      </w:r>
      <w:r w:rsidRPr="00DC1DE1">
        <w:rPr>
          <w:rFonts w:ascii="Times New Roman" w:eastAsia="Aptos" w:hAnsi="Times New Roman" w:cs="Times New Roman"/>
          <w:sz w:val="20"/>
          <w:szCs w:val="20"/>
        </w:rPr>
        <w:fldChar w:fldCharType="end"/>
      </w:r>
      <w:r w:rsidRPr="00DC1DE1">
        <w:rPr>
          <w:rFonts w:ascii="Times New Roman" w:eastAsia="Aptos" w:hAnsi="Times New Roman" w:cs="Times New Roman"/>
          <w:sz w:val="20"/>
          <w:szCs w:val="20"/>
        </w:rPr>
        <w:t xml:space="preserve">. Trace elements or minerals within the quartz mineral separate can therefore cause differences in the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production rate, impacting reproducibility. We therefore conduct a preliminary examination to determine if trace elemental impurities of Al, Fe, Mg, Ca, Na, Ti, and K measured in Mt Murphy samples following quartz purification (Table </w:t>
      </w:r>
      <w:r w:rsidR="00C76F74">
        <w:rPr>
          <w:rFonts w:ascii="Times New Roman" w:eastAsia="Aptos" w:hAnsi="Times New Roman" w:cs="Times New Roman"/>
          <w:sz w:val="20"/>
          <w:szCs w:val="20"/>
        </w:rPr>
        <w:t>S4</w:t>
      </w:r>
      <w:r w:rsidRPr="00DC1DE1">
        <w:rPr>
          <w:rFonts w:ascii="Times New Roman" w:eastAsia="Aptos" w:hAnsi="Times New Roman" w:cs="Times New Roman"/>
          <w:sz w:val="20"/>
          <w:szCs w:val="20"/>
        </w:rPr>
        <w:t xml:space="preserve">) impact the spallogenic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production rate and partly account for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repeat analyses which do not reproduce within 6 % 1 σ (or 2 σ) uncertainties. </w:t>
      </w:r>
    </w:p>
    <w:p w14:paraId="5E487675" w14:textId="77777777" w:rsidR="00DC1DE1" w:rsidRPr="00DC1DE1" w:rsidRDefault="00DC1DE1" w:rsidP="00AD3C69">
      <w:pPr>
        <w:spacing w:line="240" w:lineRule="auto"/>
        <w:jc w:val="both"/>
        <w:rPr>
          <w:rFonts w:ascii="Times New Roman" w:eastAsia="Aptos" w:hAnsi="Times New Roman" w:cs="Times New Roman"/>
          <w:b/>
          <w:bCs/>
          <w:sz w:val="20"/>
          <w:szCs w:val="20"/>
        </w:rPr>
      </w:pPr>
    </w:p>
    <w:p w14:paraId="1CF55A6C" w14:textId="55F2D440" w:rsidR="00DC1DE1" w:rsidRPr="00DC1DE1" w:rsidRDefault="00DC1DE1" w:rsidP="00AD3C69">
      <w:pPr>
        <w:spacing w:line="240" w:lineRule="auto"/>
        <w:jc w:val="both"/>
        <w:rPr>
          <w:rFonts w:ascii="Times New Roman" w:eastAsia="Aptos" w:hAnsi="Times New Roman" w:cs="Times New Roman"/>
          <w:sz w:val="20"/>
          <w:szCs w:val="20"/>
        </w:rPr>
      </w:pPr>
      <w:r w:rsidRPr="00DC1DE1">
        <w:rPr>
          <w:rFonts w:ascii="Times New Roman" w:eastAsia="Aptos" w:hAnsi="Times New Roman" w:cs="Times New Roman"/>
          <w:b/>
          <w:bCs/>
          <w:sz w:val="20"/>
          <w:szCs w:val="20"/>
        </w:rPr>
        <w:t xml:space="preserve">Table </w:t>
      </w:r>
      <w:r w:rsidR="00E71A2B">
        <w:rPr>
          <w:rFonts w:ascii="Times New Roman" w:eastAsia="Aptos" w:hAnsi="Times New Roman" w:cs="Times New Roman"/>
          <w:b/>
          <w:bCs/>
          <w:sz w:val="20"/>
          <w:szCs w:val="20"/>
        </w:rPr>
        <w:t>S</w:t>
      </w:r>
      <w:r w:rsidR="00C76F74">
        <w:rPr>
          <w:rFonts w:ascii="Times New Roman" w:eastAsia="Aptos" w:hAnsi="Times New Roman" w:cs="Times New Roman"/>
          <w:b/>
          <w:bCs/>
          <w:sz w:val="20"/>
          <w:szCs w:val="20"/>
        </w:rPr>
        <w:t>4</w:t>
      </w:r>
      <w:r w:rsidRPr="00DC1DE1">
        <w:rPr>
          <w:rFonts w:ascii="Times New Roman" w:eastAsia="Aptos" w:hAnsi="Times New Roman" w:cs="Times New Roman"/>
          <w:b/>
          <w:bCs/>
          <w:sz w:val="20"/>
          <w:szCs w:val="20"/>
        </w:rPr>
        <w:t>:</w:t>
      </w:r>
      <w:r w:rsidRPr="00DC1DE1">
        <w:rPr>
          <w:rFonts w:ascii="Times New Roman" w:eastAsia="Aptos" w:hAnsi="Times New Roman" w:cs="Times New Roman"/>
          <w:sz w:val="20"/>
          <w:szCs w:val="20"/>
        </w:rPr>
        <w:t xml:space="preserve"> Concentration data measured by ICP-OES of major elemental impurities (displayed as weight %) following quartz purification of samples measured for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(n = 9). The total sum weight % of elements is displayed, and percentage of each sample which is pure quartz (far right column). This differs from the </w:t>
      </w:r>
      <w:r w:rsidRPr="00DC1DE1">
        <w:rPr>
          <w:rFonts w:ascii="Times New Roman" w:eastAsia="Aptos" w:hAnsi="Times New Roman" w:cs="Times New Roman"/>
          <w:sz w:val="20"/>
          <w:szCs w:val="20"/>
        </w:rPr>
        <w:fldChar w:fldCharType="begin" w:fldLock="1"/>
      </w:r>
      <w:r w:rsidRPr="00DC1DE1">
        <w:rPr>
          <w:rFonts w:ascii="Times New Roman" w:eastAsia="Aptos" w:hAnsi="Times New Roman" w:cs="Times New Roman"/>
          <w:sz w:val="20"/>
          <w:szCs w:val="20"/>
        </w:rPr>
        <w:instrText>ADDIN CSL_CITATION {"citationItems":[{"id":"ITEM-1","itemData":{"DOI":"10.1016/j.quageo.2022.101403","ISSN":"18711014","abstract":"Reference materials are key for assessing inter-laboratory variability and measurement quality, and for placing analytical uncertainty bounds on sample analyses. Here, we investigate four years of data resulting from repeated processing of the CRONUS-N reference material for cosmogenic 10Be and 26Al analyses. At University of Vermont, we prepared a CRONUS-N aliquot with most of our sample batches from 2013 to 2017; these reference material samples were then distributed to four different accelerator mass spectrometry facilities, yielding 73 10Be analyses and 58 26Al analyses. We determine CRONUS-N 10Be concentrations of (2.26 ± 0.14) x 105 atoms g−1 (n = 73, mean, 1 SD) and 26Al concentrations of (1.00 ± 0.08) x 106 atoms g−1 (n = 58, mean, 1 SD). We find a reproducibility of 6.3% for 10Be and 7.7% for 26Al (relative standard deviations). We also document highly variable 27Al and Mg concentrations and a 10Be dispersion twice as large as the mean AMS analytic uncertainty. Analyses of the CRONUS-N material with and without density separation demonstrate that non-quartz minerals are present in the material and have a large impact on measured concentrations of 27Al, 10Be, and impurities; these non-quartz minerals represent only a very small portion of the total mass (0.6–0.8%) but have a disproportionally large effect on the resulting data. Our results highlight the importance of completely removing all non-quartz mineral phases from samples prior to Be/Al extraction for the determination of in situ cosmogenic 10Be and 26Al concentrations.","author":[{"dropping-particle":"","family":"Corbett","given":"Lee B.","non-dropping-particle":"","parse-names":false,"suffix":""},{"dropping-particle":"","family":"Bierman","given":"Paul R.","non-dropping-particle":"","parse-names":false,"suffix":""},{"dropping-particle":"","family":"Brown","given":"Thomas A.","non-dropping-particle":"","parse-names":false,"suffix":""},{"dropping-particle":"","family":"Caffee","given":"Marc W.","non-dropping-particle":"","parse-names":false,"suffix":""},{"dropping-particle":"","family":"Fink","given":"David","non-dropping-particle":"","parse-names":false,"suffix":""},{"dropping-particle":"","family":"Freeman","given":"Stewart P.H.T.","non-dropping-particle":"","parse-names":false,"suffix":""},{"dropping-particle":"","family":"Hidy","given":"Alan J.","non-dropping-particle":"","parse-names":false,"suffix":""},{"dropping-particle":"","family":"Rood","given":"Dylan H.","non-dropping-particle":"","parse-names":false,"suffix":""},{"dropping-particle":"","family":"Wilcken","given":"Klaus M.","non-dropping-particle":"","parse-names":false,"suffix":""},{"dropping-particle":"","family":"Woodruff","given":"Thomas E.","non-dropping-particle":"","parse-names":false,"suffix":""}],"container-title":"Quaternary Geochronology","id":"ITEM-1","issued":{"date-parts":[["2022"]]},"page":"101403","publisher":"Elsevier B.V.","title":"Clean quartz matters for cosmogenic nuclide analyses: An exploration of the importance of sample purity using the CRONUS-N reference material","type":"article-journal","volume":"73"},"uris":["http://www.mendeley.com/documents/?uuid=309ea0ed-6420-41c0-8248-733529b73f01"]}],"mendeley":{"formattedCitation":"(Corbett et al., 2022)","manualFormatting":"Corbett et al., (2022)","plainTextFormattedCitation":"(Corbett et al., 2022)","previouslyFormattedCitation":"(Corbett et al., 2022)"},"properties":{"noteIndex":0},"schema":"https://github.com/citation-style-language/schema/raw/master/csl-citation.json"}</w:instrText>
      </w:r>
      <w:r w:rsidRPr="00DC1DE1">
        <w:rPr>
          <w:rFonts w:ascii="Times New Roman" w:eastAsia="Aptos" w:hAnsi="Times New Roman" w:cs="Times New Roman"/>
          <w:sz w:val="20"/>
          <w:szCs w:val="20"/>
        </w:rPr>
        <w:fldChar w:fldCharType="separate"/>
      </w:r>
      <w:r w:rsidRPr="00DC1DE1">
        <w:rPr>
          <w:rFonts w:ascii="Times New Roman" w:eastAsia="Aptos" w:hAnsi="Times New Roman" w:cs="Times New Roman"/>
          <w:noProof/>
          <w:sz w:val="20"/>
          <w:szCs w:val="20"/>
        </w:rPr>
        <w:t>Corbett et al., (2022)</w:t>
      </w:r>
      <w:r w:rsidRPr="00DC1DE1">
        <w:rPr>
          <w:rFonts w:ascii="Times New Roman" w:eastAsia="Aptos" w:hAnsi="Times New Roman" w:cs="Times New Roman"/>
          <w:sz w:val="20"/>
          <w:szCs w:val="20"/>
        </w:rPr>
        <w:fldChar w:fldCharType="end"/>
      </w:r>
      <w:r w:rsidRPr="00DC1DE1">
        <w:rPr>
          <w:rFonts w:ascii="Times New Roman" w:eastAsia="Aptos" w:hAnsi="Times New Roman" w:cs="Times New Roman"/>
          <w:sz w:val="20"/>
          <w:szCs w:val="20"/>
        </w:rPr>
        <w:t xml:space="preserve"> study which reported elemental analysis results following the majority of Be extraction steps including column chemistry but is appropriate for investigating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reproducibility because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analyses are made directly on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gas extracted from the quartz mineral separate. </w:t>
      </w:r>
    </w:p>
    <w:tbl>
      <w:tblPr>
        <w:tblW w:w="8980" w:type="dxa"/>
        <w:tblInd w:w="108" w:type="dxa"/>
        <w:tblLook w:val="04A0" w:firstRow="1" w:lastRow="0" w:firstColumn="1" w:lastColumn="0" w:noHBand="0" w:noVBand="1"/>
      </w:tblPr>
      <w:tblGrid>
        <w:gridCol w:w="1014"/>
        <w:gridCol w:w="850"/>
        <w:gridCol w:w="833"/>
        <w:gridCol w:w="869"/>
        <w:gridCol w:w="869"/>
        <w:gridCol w:w="869"/>
        <w:gridCol w:w="869"/>
        <w:gridCol w:w="869"/>
        <w:gridCol w:w="906"/>
        <w:gridCol w:w="1032"/>
      </w:tblGrid>
      <w:tr w:rsidR="00DC1DE1" w:rsidRPr="008C44E0" w14:paraId="29DC384B" w14:textId="77777777" w:rsidTr="00DC1DE1">
        <w:trPr>
          <w:trHeight w:val="242"/>
        </w:trPr>
        <w:tc>
          <w:tcPr>
            <w:tcW w:w="1014" w:type="dxa"/>
            <w:tcBorders>
              <w:top w:val="nil"/>
              <w:left w:val="nil"/>
              <w:bottom w:val="single" w:sz="8" w:space="0" w:color="auto"/>
              <w:right w:val="nil"/>
            </w:tcBorders>
            <w:shd w:val="clear" w:color="000000" w:fill="FFFFFF"/>
            <w:noWrap/>
            <w:vAlign w:val="bottom"/>
            <w:hideMark/>
          </w:tcPr>
          <w:p w14:paraId="0B9A94A4"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p>
        </w:tc>
        <w:tc>
          <w:tcPr>
            <w:tcW w:w="850" w:type="dxa"/>
            <w:tcBorders>
              <w:top w:val="nil"/>
              <w:left w:val="nil"/>
              <w:bottom w:val="single" w:sz="8" w:space="0" w:color="auto"/>
              <w:right w:val="nil"/>
            </w:tcBorders>
            <w:shd w:val="clear" w:color="000000" w:fill="FFFFFF"/>
            <w:noWrap/>
            <w:vAlign w:val="bottom"/>
            <w:hideMark/>
          </w:tcPr>
          <w:p w14:paraId="4444FBEB"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p>
        </w:tc>
        <w:tc>
          <w:tcPr>
            <w:tcW w:w="833" w:type="dxa"/>
            <w:tcBorders>
              <w:top w:val="nil"/>
              <w:left w:val="nil"/>
              <w:bottom w:val="single" w:sz="8" w:space="0" w:color="auto"/>
              <w:right w:val="nil"/>
            </w:tcBorders>
            <w:shd w:val="clear" w:color="000000" w:fill="FFFFFF"/>
            <w:noWrap/>
            <w:vAlign w:val="bottom"/>
            <w:hideMark/>
          </w:tcPr>
          <w:p w14:paraId="258143E2"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single" w:sz="8" w:space="0" w:color="auto"/>
              <w:right w:val="nil"/>
            </w:tcBorders>
            <w:shd w:val="clear" w:color="000000" w:fill="FFFFFF"/>
            <w:noWrap/>
            <w:vAlign w:val="bottom"/>
            <w:hideMark/>
          </w:tcPr>
          <w:p w14:paraId="6B1602F3"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single" w:sz="8" w:space="0" w:color="auto"/>
              <w:right w:val="nil"/>
            </w:tcBorders>
            <w:shd w:val="clear" w:color="000000" w:fill="FFFFFF"/>
            <w:noWrap/>
            <w:vAlign w:val="bottom"/>
            <w:hideMark/>
          </w:tcPr>
          <w:p w14:paraId="467C19EA"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single" w:sz="8" w:space="0" w:color="auto"/>
              <w:right w:val="nil"/>
            </w:tcBorders>
            <w:shd w:val="clear" w:color="000000" w:fill="FFFFFF"/>
            <w:noWrap/>
            <w:vAlign w:val="bottom"/>
            <w:hideMark/>
          </w:tcPr>
          <w:p w14:paraId="21FB06BE"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single" w:sz="8" w:space="0" w:color="auto"/>
              <w:right w:val="nil"/>
            </w:tcBorders>
            <w:shd w:val="clear" w:color="000000" w:fill="FFFFFF"/>
            <w:noWrap/>
            <w:vAlign w:val="bottom"/>
            <w:hideMark/>
          </w:tcPr>
          <w:p w14:paraId="363E6D9B"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single" w:sz="8" w:space="0" w:color="auto"/>
              <w:right w:val="nil"/>
            </w:tcBorders>
            <w:shd w:val="clear" w:color="000000" w:fill="FFFFFF"/>
            <w:noWrap/>
            <w:vAlign w:val="bottom"/>
            <w:hideMark/>
          </w:tcPr>
          <w:p w14:paraId="13FFB132"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906" w:type="dxa"/>
            <w:tcBorders>
              <w:top w:val="nil"/>
              <w:left w:val="nil"/>
              <w:bottom w:val="single" w:sz="8" w:space="0" w:color="auto"/>
              <w:right w:val="nil"/>
            </w:tcBorders>
            <w:shd w:val="clear" w:color="000000" w:fill="FFFFFF"/>
            <w:noWrap/>
            <w:vAlign w:val="bottom"/>
            <w:hideMark/>
          </w:tcPr>
          <w:p w14:paraId="533D957E"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1032" w:type="dxa"/>
            <w:tcBorders>
              <w:top w:val="nil"/>
              <w:left w:val="nil"/>
              <w:bottom w:val="single" w:sz="8" w:space="0" w:color="auto"/>
              <w:right w:val="nil"/>
            </w:tcBorders>
            <w:shd w:val="clear" w:color="000000" w:fill="FFFFFF"/>
            <w:noWrap/>
            <w:vAlign w:val="bottom"/>
            <w:hideMark/>
          </w:tcPr>
          <w:p w14:paraId="7C9CE3CD" w14:textId="77777777" w:rsidR="00DC1DE1" w:rsidRPr="008C44E0" w:rsidRDefault="00DC1DE1" w:rsidP="00067527">
            <w:pPr>
              <w:spacing w:after="0" w:line="240"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r>
      <w:tr w:rsidR="00DC1DE1" w:rsidRPr="008C44E0" w14:paraId="06D76918" w14:textId="77777777" w:rsidTr="00DC1DE1">
        <w:trPr>
          <w:trHeight w:val="404"/>
        </w:trPr>
        <w:tc>
          <w:tcPr>
            <w:tcW w:w="1014" w:type="dxa"/>
            <w:tcBorders>
              <w:top w:val="nil"/>
              <w:left w:val="nil"/>
              <w:bottom w:val="single" w:sz="8" w:space="0" w:color="auto"/>
              <w:right w:val="nil"/>
            </w:tcBorders>
            <w:shd w:val="clear" w:color="000000" w:fill="FFFFFF"/>
            <w:noWrap/>
            <w:hideMark/>
          </w:tcPr>
          <w:p w14:paraId="006862CD"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Sample ID </w:t>
            </w:r>
          </w:p>
        </w:tc>
        <w:tc>
          <w:tcPr>
            <w:tcW w:w="850" w:type="dxa"/>
            <w:tcBorders>
              <w:top w:val="nil"/>
              <w:left w:val="nil"/>
              <w:bottom w:val="single" w:sz="8" w:space="0" w:color="auto"/>
              <w:right w:val="nil"/>
            </w:tcBorders>
            <w:shd w:val="clear" w:color="000000" w:fill="FFFFFF"/>
            <w:hideMark/>
          </w:tcPr>
          <w:p w14:paraId="3FA305E0"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Al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33" w:type="dxa"/>
            <w:tcBorders>
              <w:top w:val="nil"/>
              <w:left w:val="nil"/>
              <w:bottom w:val="single" w:sz="8" w:space="0" w:color="auto"/>
              <w:right w:val="nil"/>
            </w:tcBorders>
            <w:shd w:val="clear" w:color="000000" w:fill="FFFFFF"/>
            <w:hideMark/>
          </w:tcPr>
          <w:p w14:paraId="6C252D14"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Fe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69" w:type="dxa"/>
            <w:tcBorders>
              <w:top w:val="nil"/>
              <w:left w:val="nil"/>
              <w:bottom w:val="single" w:sz="8" w:space="0" w:color="auto"/>
              <w:right w:val="nil"/>
            </w:tcBorders>
            <w:shd w:val="clear" w:color="000000" w:fill="FFFFFF"/>
            <w:hideMark/>
          </w:tcPr>
          <w:p w14:paraId="693F4429"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Mg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69" w:type="dxa"/>
            <w:tcBorders>
              <w:top w:val="nil"/>
              <w:left w:val="nil"/>
              <w:bottom w:val="single" w:sz="8" w:space="0" w:color="auto"/>
              <w:right w:val="nil"/>
            </w:tcBorders>
            <w:shd w:val="clear" w:color="000000" w:fill="FFFFFF"/>
            <w:hideMark/>
          </w:tcPr>
          <w:p w14:paraId="3B26C850"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Ca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69" w:type="dxa"/>
            <w:tcBorders>
              <w:top w:val="nil"/>
              <w:left w:val="nil"/>
              <w:bottom w:val="single" w:sz="8" w:space="0" w:color="auto"/>
              <w:right w:val="nil"/>
            </w:tcBorders>
            <w:shd w:val="clear" w:color="000000" w:fill="FFFFFF"/>
            <w:hideMark/>
          </w:tcPr>
          <w:p w14:paraId="59DF82B9"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Na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69" w:type="dxa"/>
            <w:tcBorders>
              <w:top w:val="nil"/>
              <w:left w:val="nil"/>
              <w:bottom w:val="single" w:sz="8" w:space="0" w:color="auto"/>
              <w:right w:val="nil"/>
            </w:tcBorders>
            <w:shd w:val="clear" w:color="000000" w:fill="FFFFFF"/>
            <w:hideMark/>
          </w:tcPr>
          <w:p w14:paraId="6EA6CEFE"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Ti</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869" w:type="dxa"/>
            <w:tcBorders>
              <w:top w:val="nil"/>
              <w:left w:val="nil"/>
              <w:bottom w:val="single" w:sz="8" w:space="0" w:color="auto"/>
              <w:right w:val="nil"/>
            </w:tcBorders>
            <w:shd w:val="clear" w:color="000000" w:fill="FFFFFF"/>
            <w:hideMark/>
          </w:tcPr>
          <w:p w14:paraId="105FD3AC"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K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906" w:type="dxa"/>
            <w:tcBorders>
              <w:top w:val="nil"/>
              <w:left w:val="nil"/>
              <w:bottom w:val="single" w:sz="8" w:space="0" w:color="auto"/>
              <w:right w:val="nil"/>
            </w:tcBorders>
            <w:shd w:val="clear" w:color="000000" w:fill="FFFFFF"/>
            <w:hideMark/>
          </w:tcPr>
          <w:p w14:paraId="47482874"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 xml:space="preserve">Total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c>
          <w:tcPr>
            <w:tcW w:w="1032" w:type="dxa"/>
            <w:tcBorders>
              <w:top w:val="nil"/>
              <w:left w:val="nil"/>
              <w:bottom w:val="single" w:sz="8" w:space="0" w:color="auto"/>
              <w:right w:val="nil"/>
            </w:tcBorders>
            <w:shd w:val="clear" w:color="000000" w:fill="FFFFFF"/>
            <w:hideMark/>
          </w:tcPr>
          <w:p w14:paraId="3644C21B"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proofErr w:type="spellStart"/>
            <w:r w:rsidRPr="008C44E0">
              <w:rPr>
                <w:rFonts w:ascii="Times New Roman" w:hAnsi="Times New Roman" w:cs="Times New Roman"/>
                <w:b/>
                <w:bCs/>
                <w:color w:val="000000"/>
                <w:sz w:val="20"/>
                <w:szCs w:val="20"/>
                <w:lang w:eastAsia="en-GB"/>
              </w:rPr>
              <w:t>SiO</w:t>
            </w:r>
            <w:proofErr w:type="spellEnd"/>
            <w:r w:rsidRPr="008C44E0">
              <w:rPr>
                <w:rFonts w:ascii="Times New Roman" w:hAnsi="Times New Roman" w:cs="Times New Roman"/>
                <w:b/>
                <w:bCs/>
                <w:color w:val="000000"/>
                <w:sz w:val="20"/>
                <w:szCs w:val="20"/>
                <w:lang w:eastAsia="en-GB"/>
              </w:rPr>
              <w:t xml:space="preserve">₂ </w:t>
            </w:r>
            <w:r w:rsidRPr="008C44E0">
              <w:rPr>
                <w:rFonts w:ascii="Times New Roman" w:hAnsi="Times New Roman" w:cs="Times New Roman"/>
                <w:b/>
                <w:bCs/>
                <w:color w:val="000000"/>
                <w:sz w:val="20"/>
                <w:szCs w:val="20"/>
                <w:lang w:eastAsia="en-GB"/>
              </w:rPr>
              <w:br/>
            </w:r>
            <w:proofErr w:type="spellStart"/>
            <w:r w:rsidRPr="008C44E0">
              <w:rPr>
                <w:rFonts w:ascii="Times New Roman" w:hAnsi="Times New Roman" w:cs="Times New Roman"/>
                <w:b/>
                <w:bCs/>
                <w:color w:val="000000"/>
                <w:sz w:val="20"/>
                <w:szCs w:val="20"/>
                <w:lang w:eastAsia="en-GB"/>
              </w:rPr>
              <w:t>wt</w:t>
            </w:r>
            <w:proofErr w:type="spellEnd"/>
            <w:r w:rsidRPr="008C44E0">
              <w:rPr>
                <w:rFonts w:ascii="Times New Roman" w:hAnsi="Times New Roman" w:cs="Times New Roman"/>
                <w:b/>
                <w:bCs/>
                <w:color w:val="000000"/>
                <w:sz w:val="20"/>
                <w:szCs w:val="20"/>
                <w:lang w:eastAsia="en-GB"/>
              </w:rPr>
              <w:t xml:space="preserve"> %</w:t>
            </w:r>
          </w:p>
        </w:tc>
      </w:tr>
      <w:tr w:rsidR="00DC1DE1" w:rsidRPr="008C44E0" w14:paraId="20AF2162" w14:textId="77777777" w:rsidTr="00DC1DE1">
        <w:trPr>
          <w:trHeight w:val="230"/>
        </w:trPr>
        <w:tc>
          <w:tcPr>
            <w:tcW w:w="1014" w:type="dxa"/>
            <w:tcBorders>
              <w:top w:val="nil"/>
              <w:left w:val="nil"/>
              <w:bottom w:val="nil"/>
              <w:right w:val="nil"/>
            </w:tcBorders>
            <w:shd w:val="clear" w:color="000000" w:fill="FFFFFF"/>
            <w:noWrap/>
            <w:vAlign w:val="bottom"/>
            <w:hideMark/>
          </w:tcPr>
          <w:p w14:paraId="10E764AF"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CIN-102</w:t>
            </w:r>
          </w:p>
        </w:tc>
        <w:tc>
          <w:tcPr>
            <w:tcW w:w="850" w:type="dxa"/>
            <w:tcBorders>
              <w:top w:val="nil"/>
              <w:left w:val="nil"/>
              <w:bottom w:val="nil"/>
              <w:right w:val="nil"/>
            </w:tcBorders>
            <w:shd w:val="clear" w:color="000000" w:fill="FFFFFF"/>
            <w:noWrap/>
            <w:vAlign w:val="bottom"/>
            <w:hideMark/>
          </w:tcPr>
          <w:p w14:paraId="180E527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0.0147</w:t>
            </w:r>
          </w:p>
        </w:tc>
        <w:tc>
          <w:tcPr>
            <w:tcW w:w="833" w:type="dxa"/>
            <w:tcBorders>
              <w:top w:val="nil"/>
              <w:left w:val="nil"/>
              <w:bottom w:val="nil"/>
              <w:right w:val="nil"/>
            </w:tcBorders>
            <w:shd w:val="clear" w:color="000000" w:fill="FFFFFF"/>
            <w:noWrap/>
            <w:vAlign w:val="bottom"/>
            <w:hideMark/>
          </w:tcPr>
          <w:p w14:paraId="787D4363"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0.0056</w:t>
            </w:r>
          </w:p>
        </w:tc>
        <w:tc>
          <w:tcPr>
            <w:tcW w:w="869" w:type="dxa"/>
            <w:tcBorders>
              <w:top w:val="nil"/>
              <w:left w:val="nil"/>
              <w:bottom w:val="nil"/>
              <w:right w:val="nil"/>
            </w:tcBorders>
            <w:shd w:val="clear" w:color="000000" w:fill="FFFFFF"/>
            <w:noWrap/>
            <w:vAlign w:val="bottom"/>
            <w:hideMark/>
          </w:tcPr>
          <w:p w14:paraId="788F2FB6"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0.0016</w:t>
            </w:r>
          </w:p>
        </w:tc>
        <w:tc>
          <w:tcPr>
            <w:tcW w:w="869" w:type="dxa"/>
            <w:tcBorders>
              <w:top w:val="nil"/>
              <w:left w:val="nil"/>
              <w:bottom w:val="nil"/>
              <w:right w:val="nil"/>
            </w:tcBorders>
            <w:shd w:val="clear" w:color="000000" w:fill="FFFFFF"/>
            <w:noWrap/>
            <w:vAlign w:val="bottom"/>
            <w:hideMark/>
          </w:tcPr>
          <w:p w14:paraId="282657F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0.0020</w:t>
            </w:r>
          </w:p>
        </w:tc>
        <w:tc>
          <w:tcPr>
            <w:tcW w:w="869" w:type="dxa"/>
            <w:tcBorders>
              <w:top w:val="nil"/>
              <w:left w:val="nil"/>
              <w:bottom w:val="nil"/>
              <w:right w:val="nil"/>
            </w:tcBorders>
            <w:shd w:val="clear" w:color="000000" w:fill="FFFFFF"/>
            <w:noWrap/>
            <w:vAlign w:val="bottom"/>
            <w:hideMark/>
          </w:tcPr>
          <w:p w14:paraId="6209B2DD"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0.0009</w:t>
            </w:r>
          </w:p>
        </w:tc>
        <w:tc>
          <w:tcPr>
            <w:tcW w:w="869" w:type="dxa"/>
            <w:tcBorders>
              <w:top w:val="nil"/>
              <w:left w:val="nil"/>
              <w:bottom w:val="nil"/>
              <w:right w:val="nil"/>
            </w:tcBorders>
            <w:shd w:val="clear" w:color="000000" w:fill="FFFFFF"/>
            <w:noWrap/>
            <w:vAlign w:val="bottom"/>
            <w:hideMark/>
          </w:tcPr>
          <w:p w14:paraId="291FA61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0.0033</w:t>
            </w:r>
          </w:p>
        </w:tc>
        <w:tc>
          <w:tcPr>
            <w:tcW w:w="869" w:type="dxa"/>
            <w:tcBorders>
              <w:top w:val="nil"/>
              <w:left w:val="nil"/>
              <w:bottom w:val="nil"/>
              <w:right w:val="nil"/>
            </w:tcBorders>
            <w:shd w:val="clear" w:color="000000" w:fill="FFFFFF"/>
            <w:noWrap/>
            <w:vAlign w:val="bottom"/>
            <w:hideMark/>
          </w:tcPr>
          <w:p w14:paraId="3E33D071"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0.0063</w:t>
            </w:r>
          </w:p>
        </w:tc>
        <w:tc>
          <w:tcPr>
            <w:tcW w:w="906" w:type="dxa"/>
            <w:tcBorders>
              <w:top w:val="nil"/>
              <w:left w:val="nil"/>
              <w:bottom w:val="nil"/>
              <w:right w:val="nil"/>
            </w:tcBorders>
            <w:shd w:val="clear" w:color="000000" w:fill="FFFFFF"/>
            <w:noWrap/>
            <w:vAlign w:val="bottom"/>
            <w:hideMark/>
          </w:tcPr>
          <w:p w14:paraId="64D06434"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0.0344</w:t>
            </w:r>
          </w:p>
        </w:tc>
        <w:tc>
          <w:tcPr>
            <w:tcW w:w="1032" w:type="dxa"/>
            <w:tcBorders>
              <w:top w:val="nil"/>
              <w:left w:val="nil"/>
              <w:bottom w:val="nil"/>
              <w:right w:val="nil"/>
            </w:tcBorders>
            <w:shd w:val="clear" w:color="000000" w:fill="FFFFFF"/>
            <w:noWrap/>
            <w:vAlign w:val="bottom"/>
            <w:hideMark/>
          </w:tcPr>
          <w:p w14:paraId="29A100F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99.9656</w:t>
            </w:r>
          </w:p>
        </w:tc>
      </w:tr>
      <w:tr w:rsidR="00DC1DE1" w:rsidRPr="008C44E0" w14:paraId="2EC5D472" w14:textId="77777777" w:rsidTr="00DC1DE1">
        <w:trPr>
          <w:trHeight w:val="230"/>
        </w:trPr>
        <w:tc>
          <w:tcPr>
            <w:tcW w:w="1014" w:type="dxa"/>
            <w:tcBorders>
              <w:top w:val="nil"/>
              <w:left w:val="nil"/>
              <w:bottom w:val="nil"/>
              <w:right w:val="nil"/>
            </w:tcBorders>
            <w:shd w:val="clear" w:color="000000" w:fill="FFFFFF"/>
            <w:noWrap/>
            <w:vAlign w:val="bottom"/>
            <w:hideMark/>
          </w:tcPr>
          <w:p w14:paraId="79A066A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CIN-108</w:t>
            </w:r>
          </w:p>
        </w:tc>
        <w:tc>
          <w:tcPr>
            <w:tcW w:w="850" w:type="dxa"/>
            <w:tcBorders>
              <w:top w:val="nil"/>
              <w:left w:val="nil"/>
              <w:bottom w:val="nil"/>
              <w:right w:val="nil"/>
            </w:tcBorders>
            <w:shd w:val="clear" w:color="000000" w:fill="FFFFFF"/>
            <w:noWrap/>
            <w:vAlign w:val="bottom"/>
            <w:hideMark/>
          </w:tcPr>
          <w:p w14:paraId="198FA58F"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0.0031</w:t>
            </w:r>
          </w:p>
        </w:tc>
        <w:tc>
          <w:tcPr>
            <w:tcW w:w="833" w:type="dxa"/>
            <w:tcBorders>
              <w:top w:val="nil"/>
              <w:left w:val="nil"/>
              <w:bottom w:val="nil"/>
              <w:right w:val="nil"/>
            </w:tcBorders>
            <w:shd w:val="clear" w:color="000000" w:fill="FFFFFF"/>
            <w:noWrap/>
            <w:vAlign w:val="bottom"/>
            <w:hideMark/>
          </w:tcPr>
          <w:p w14:paraId="36CF271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0.0003</w:t>
            </w:r>
          </w:p>
        </w:tc>
        <w:tc>
          <w:tcPr>
            <w:tcW w:w="869" w:type="dxa"/>
            <w:tcBorders>
              <w:top w:val="nil"/>
              <w:left w:val="nil"/>
              <w:bottom w:val="nil"/>
              <w:right w:val="nil"/>
            </w:tcBorders>
            <w:shd w:val="clear" w:color="000000" w:fill="FFFFFF"/>
            <w:noWrap/>
            <w:vAlign w:val="bottom"/>
            <w:hideMark/>
          </w:tcPr>
          <w:p w14:paraId="441C0D93"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0341A74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0.0007</w:t>
            </w:r>
          </w:p>
        </w:tc>
        <w:tc>
          <w:tcPr>
            <w:tcW w:w="869" w:type="dxa"/>
            <w:tcBorders>
              <w:top w:val="nil"/>
              <w:left w:val="nil"/>
              <w:bottom w:val="nil"/>
              <w:right w:val="nil"/>
            </w:tcBorders>
            <w:shd w:val="clear" w:color="000000" w:fill="FFFFFF"/>
            <w:noWrap/>
            <w:vAlign w:val="bottom"/>
            <w:hideMark/>
          </w:tcPr>
          <w:p w14:paraId="08BB37B2"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0.0003</w:t>
            </w:r>
          </w:p>
        </w:tc>
        <w:tc>
          <w:tcPr>
            <w:tcW w:w="869" w:type="dxa"/>
            <w:tcBorders>
              <w:top w:val="nil"/>
              <w:left w:val="nil"/>
              <w:bottom w:val="nil"/>
              <w:right w:val="nil"/>
            </w:tcBorders>
            <w:shd w:val="clear" w:color="000000" w:fill="FFFFFF"/>
            <w:noWrap/>
            <w:vAlign w:val="bottom"/>
            <w:hideMark/>
          </w:tcPr>
          <w:p w14:paraId="1154668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0.0017</w:t>
            </w:r>
          </w:p>
        </w:tc>
        <w:tc>
          <w:tcPr>
            <w:tcW w:w="869" w:type="dxa"/>
            <w:tcBorders>
              <w:top w:val="nil"/>
              <w:left w:val="nil"/>
              <w:bottom w:val="nil"/>
              <w:right w:val="nil"/>
            </w:tcBorders>
            <w:shd w:val="clear" w:color="000000" w:fill="FFFFFF"/>
            <w:noWrap/>
            <w:vAlign w:val="bottom"/>
            <w:hideMark/>
          </w:tcPr>
          <w:p w14:paraId="6DEE4915"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906" w:type="dxa"/>
            <w:tcBorders>
              <w:top w:val="nil"/>
              <w:left w:val="nil"/>
              <w:bottom w:val="nil"/>
              <w:right w:val="nil"/>
            </w:tcBorders>
            <w:shd w:val="clear" w:color="000000" w:fill="FFFFFF"/>
            <w:noWrap/>
            <w:vAlign w:val="bottom"/>
            <w:hideMark/>
          </w:tcPr>
          <w:p w14:paraId="6976ABD7"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0.0063</w:t>
            </w:r>
          </w:p>
        </w:tc>
        <w:tc>
          <w:tcPr>
            <w:tcW w:w="1032" w:type="dxa"/>
            <w:tcBorders>
              <w:top w:val="nil"/>
              <w:left w:val="nil"/>
              <w:bottom w:val="nil"/>
              <w:right w:val="nil"/>
            </w:tcBorders>
            <w:shd w:val="clear" w:color="000000" w:fill="FFFFFF"/>
            <w:noWrap/>
            <w:vAlign w:val="bottom"/>
            <w:hideMark/>
          </w:tcPr>
          <w:p w14:paraId="08AB4D6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99.9937</w:t>
            </w:r>
          </w:p>
        </w:tc>
      </w:tr>
      <w:tr w:rsidR="00DC1DE1" w:rsidRPr="008C44E0" w14:paraId="2C4186C1" w14:textId="77777777" w:rsidTr="00DC1DE1">
        <w:trPr>
          <w:trHeight w:val="230"/>
        </w:trPr>
        <w:tc>
          <w:tcPr>
            <w:tcW w:w="1014" w:type="dxa"/>
            <w:tcBorders>
              <w:top w:val="nil"/>
              <w:left w:val="nil"/>
              <w:bottom w:val="nil"/>
              <w:right w:val="nil"/>
            </w:tcBorders>
            <w:shd w:val="clear" w:color="000000" w:fill="FFFFFF"/>
            <w:noWrap/>
            <w:vAlign w:val="bottom"/>
            <w:hideMark/>
          </w:tcPr>
          <w:p w14:paraId="7673D355"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CIN-112</w:t>
            </w:r>
          </w:p>
        </w:tc>
        <w:tc>
          <w:tcPr>
            <w:tcW w:w="850" w:type="dxa"/>
            <w:tcBorders>
              <w:top w:val="nil"/>
              <w:left w:val="nil"/>
              <w:bottom w:val="nil"/>
              <w:right w:val="nil"/>
            </w:tcBorders>
            <w:shd w:val="clear" w:color="000000" w:fill="FFFFFF"/>
            <w:noWrap/>
            <w:vAlign w:val="bottom"/>
            <w:hideMark/>
          </w:tcPr>
          <w:p w14:paraId="547F4D61"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0.0035</w:t>
            </w:r>
          </w:p>
        </w:tc>
        <w:tc>
          <w:tcPr>
            <w:tcW w:w="833" w:type="dxa"/>
            <w:tcBorders>
              <w:top w:val="nil"/>
              <w:left w:val="nil"/>
              <w:bottom w:val="nil"/>
              <w:right w:val="nil"/>
            </w:tcBorders>
            <w:shd w:val="clear" w:color="000000" w:fill="FFFFFF"/>
            <w:noWrap/>
            <w:vAlign w:val="bottom"/>
            <w:hideMark/>
          </w:tcPr>
          <w:p w14:paraId="32C8527D"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0.0003</w:t>
            </w:r>
          </w:p>
        </w:tc>
        <w:tc>
          <w:tcPr>
            <w:tcW w:w="869" w:type="dxa"/>
            <w:tcBorders>
              <w:top w:val="nil"/>
              <w:left w:val="nil"/>
              <w:bottom w:val="nil"/>
              <w:right w:val="nil"/>
            </w:tcBorders>
            <w:shd w:val="clear" w:color="000000" w:fill="FFFFFF"/>
            <w:noWrap/>
            <w:vAlign w:val="bottom"/>
            <w:hideMark/>
          </w:tcPr>
          <w:p w14:paraId="4A114D7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0.0002</w:t>
            </w:r>
          </w:p>
        </w:tc>
        <w:tc>
          <w:tcPr>
            <w:tcW w:w="869" w:type="dxa"/>
            <w:tcBorders>
              <w:top w:val="nil"/>
              <w:left w:val="nil"/>
              <w:bottom w:val="nil"/>
              <w:right w:val="nil"/>
            </w:tcBorders>
            <w:shd w:val="clear" w:color="000000" w:fill="FFFFFF"/>
            <w:noWrap/>
            <w:vAlign w:val="bottom"/>
            <w:hideMark/>
          </w:tcPr>
          <w:p w14:paraId="14D6AA93"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0.0008</w:t>
            </w:r>
          </w:p>
        </w:tc>
        <w:tc>
          <w:tcPr>
            <w:tcW w:w="869" w:type="dxa"/>
            <w:tcBorders>
              <w:top w:val="nil"/>
              <w:left w:val="nil"/>
              <w:bottom w:val="nil"/>
              <w:right w:val="nil"/>
            </w:tcBorders>
            <w:shd w:val="clear" w:color="000000" w:fill="FFFFFF"/>
            <w:noWrap/>
            <w:vAlign w:val="bottom"/>
            <w:hideMark/>
          </w:tcPr>
          <w:p w14:paraId="0A5A8E0A"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4F07D7C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0.0016</w:t>
            </w:r>
          </w:p>
        </w:tc>
        <w:tc>
          <w:tcPr>
            <w:tcW w:w="869" w:type="dxa"/>
            <w:tcBorders>
              <w:top w:val="nil"/>
              <w:left w:val="nil"/>
              <w:bottom w:val="nil"/>
              <w:right w:val="nil"/>
            </w:tcBorders>
            <w:shd w:val="clear" w:color="000000" w:fill="FFFFFF"/>
            <w:noWrap/>
            <w:vAlign w:val="bottom"/>
            <w:hideMark/>
          </w:tcPr>
          <w:p w14:paraId="7AEE6F7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0.0004</w:t>
            </w:r>
          </w:p>
        </w:tc>
        <w:tc>
          <w:tcPr>
            <w:tcW w:w="906" w:type="dxa"/>
            <w:tcBorders>
              <w:top w:val="nil"/>
              <w:left w:val="nil"/>
              <w:bottom w:val="nil"/>
              <w:right w:val="nil"/>
            </w:tcBorders>
            <w:shd w:val="clear" w:color="000000" w:fill="FFFFFF"/>
            <w:noWrap/>
            <w:vAlign w:val="bottom"/>
            <w:hideMark/>
          </w:tcPr>
          <w:p w14:paraId="2838326E"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0.0074</w:t>
            </w:r>
          </w:p>
        </w:tc>
        <w:tc>
          <w:tcPr>
            <w:tcW w:w="1032" w:type="dxa"/>
            <w:tcBorders>
              <w:top w:val="nil"/>
              <w:left w:val="nil"/>
              <w:bottom w:val="nil"/>
              <w:right w:val="nil"/>
            </w:tcBorders>
            <w:shd w:val="clear" w:color="000000" w:fill="FFFFFF"/>
            <w:noWrap/>
            <w:vAlign w:val="bottom"/>
            <w:hideMark/>
          </w:tcPr>
          <w:p w14:paraId="0EF370F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99.9926</w:t>
            </w:r>
          </w:p>
        </w:tc>
      </w:tr>
      <w:tr w:rsidR="00DC1DE1" w:rsidRPr="008C44E0" w14:paraId="0AC49A7E" w14:textId="77777777" w:rsidTr="00DC1DE1">
        <w:trPr>
          <w:trHeight w:val="230"/>
        </w:trPr>
        <w:tc>
          <w:tcPr>
            <w:tcW w:w="1014" w:type="dxa"/>
            <w:tcBorders>
              <w:top w:val="nil"/>
              <w:left w:val="nil"/>
              <w:bottom w:val="nil"/>
              <w:right w:val="nil"/>
            </w:tcBorders>
            <w:shd w:val="clear" w:color="000000" w:fill="FFFFFF"/>
            <w:noWrap/>
            <w:vAlign w:val="bottom"/>
            <w:hideMark/>
          </w:tcPr>
          <w:p w14:paraId="68DB577A"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NOT-103</w:t>
            </w:r>
          </w:p>
        </w:tc>
        <w:tc>
          <w:tcPr>
            <w:tcW w:w="850" w:type="dxa"/>
            <w:tcBorders>
              <w:top w:val="nil"/>
              <w:left w:val="nil"/>
              <w:bottom w:val="nil"/>
              <w:right w:val="nil"/>
            </w:tcBorders>
            <w:shd w:val="clear" w:color="000000" w:fill="FFFFFF"/>
            <w:noWrap/>
            <w:vAlign w:val="bottom"/>
            <w:hideMark/>
          </w:tcPr>
          <w:p w14:paraId="41B7DA75"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0.0079</w:t>
            </w:r>
          </w:p>
        </w:tc>
        <w:tc>
          <w:tcPr>
            <w:tcW w:w="833" w:type="dxa"/>
            <w:tcBorders>
              <w:top w:val="nil"/>
              <w:left w:val="nil"/>
              <w:bottom w:val="nil"/>
              <w:right w:val="nil"/>
            </w:tcBorders>
            <w:shd w:val="clear" w:color="000000" w:fill="FFFFFF"/>
            <w:noWrap/>
            <w:vAlign w:val="bottom"/>
            <w:hideMark/>
          </w:tcPr>
          <w:p w14:paraId="45448D0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71E2125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08E574B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65BA2D85"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0.0002</w:t>
            </w:r>
          </w:p>
        </w:tc>
        <w:tc>
          <w:tcPr>
            <w:tcW w:w="869" w:type="dxa"/>
            <w:tcBorders>
              <w:top w:val="nil"/>
              <w:left w:val="nil"/>
              <w:bottom w:val="nil"/>
              <w:right w:val="nil"/>
            </w:tcBorders>
            <w:shd w:val="clear" w:color="000000" w:fill="FFFFFF"/>
            <w:noWrap/>
            <w:vAlign w:val="bottom"/>
            <w:hideMark/>
          </w:tcPr>
          <w:p w14:paraId="3271404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0.0018</w:t>
            </w:r>
          </w:p>
        </w:tc>
        <w:tc>
          <w:tcPr>
            <w:tcW w:w="869" w:type="dxa"/>
            <w:tcBorders>
              <w:top w:val="nil"/>
              <w:left w:val="nil"/>
              <w:bottom w:val="nil"/>
              <w:right w:val="nil"/>
            </w:tcBorders>
            <w:shd w:val="clear" w:color="000000" w:fill="FFFFFF"/>
            <w:noWrap/>
            <w:vAlign w:val="bottom"/>
            <w:hideMark/>
          </w:tcPr>
          <w:p w14:paraId="3DBAB78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906" w:type="dxa"/>
            <w:tcBorders>
              <w:top w:val="nil"/>
              <w:left w:val="nil"/>
              <w:bottom w:val="nil"/>
              <w:right w:val="nil"/>
            </w:tcBorders>
            <w:shd w:val="clear" w:color="000000" w:fill="FFFFFF"/>
            <w:noWrap/>
            <w:vAlign w:val="bottom"/>
            <w:hideMark/>
          </w:tcPr>
          <w:p w14:paraId="3F1FC5E8"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0.0113</w:t>
            </w:r>
          </w:p>
        </w:tc>
        <w:tc>
          <w:tcPr>
            <w:tcW w:w="1032" w:type="dxa"/>
            <w:tcBorders>
              <w:top w:val="nil"/>
              <w:left w:val="nil"/>
              <w:bottom w:val="nil"/>
              <w:right w:val="nil"/>
            </w:tcBorders>
            <w:shd w:val="clear" w:color="000000" w:fill="FFFFFF"/>
            <w:noWrap/>
            <w:vAlign w:val="bottom"/>
            <w:hideMark/>
          </w:tcPr>
          <w:p w14:paraId="40F8258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99.9887</w:t>
            </w:r>
          </w:p>
        </w:tc>
      </w:tr>
      <w:tr w:rsidR="00DC1DE1" w:rsidRPr="008C44E0" w14:paraId="0901302C" w14:textId="77777777" w:rsidTr="00DC1DE1">
        <w:trPr>
          <w:trHeight w:val="230"/>
        </w:trPr>
        <w:tc>
          <w:tcPr>
            <w:tcW w:w="1014" w:type="dxa"/>
            <w:tcBorders>
              <w:top w:val="nil"/>
              <w:left w:val="nil"/>
              <w:bottom w:val="nil"/>
              <w:right w:val="nil"/>
            </w:tcBorders>
            <w:shd w:val="clear" w:color="000000" w:fill="FFFFFF"/>
            <w:noWrap/>
            <w:vAlign w:val="bottom"/>
            <w:hideMark/>
          </w:tcPr>
          <w:p w14:paraId="33677D36"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NOT-104</w:t>
            </w:r>
          </w:p>
        </w:tc>
        <w:tc>
          <w:tcPr>
            <w:tcW w:w="850" w:type="dxa"/>
            <w:tcBorders>
              <w:top w:val="nil"/>
              <w:left w:val="nil"/>
              <w:bottom w:val="nil"/>
              <w:right w:val="nil"/>
            </w:tcBorders>
            <w:shd w:val="clear" w:color="000000" w:fill="FFFFFF"/>
            <w:noWrap/>
            <w:vAlign w:val="bottom"/>
            <w:hideMark/>
          </w:tcPr>
          <w:p w14:paraId="243B4541"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0.0052</w:t>
            </w:r>
          </w:p>
        </w:tc>
        <w:tc>
          <w:tcPr>
            <w:tcW w:w="833" w:type="dxa"/>
            <w:tcBorders>
              <w:top w:val="nil"/>
              <w:left w:val="nil"/>
              <w:bottom w:val="nil"/>
              <w:right w:val="nil"/>
            </w:tcBorders>
            <w:shd w:val="clear" w:color="000000" w:fill="FFFFFF"/>
            <w:noWrap/>
            <w:vAlign w:val="bottom"/>
            <w:hideMark/>
          </w:tcPr>
          <w:p w14:paraId="10DC90C7"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78AAE4AD"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4F13BE80"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0.0004</w:t>
            </w:r>
          </w:p>
        </w:tc>
        <w:tc>
          <w:tcPr>
            <w:tcW w:w="869" w:type="dxa"/>
            <w:tcBorders>
              <w:top w:val="nil"/>
              <w:left w:val="nil"/>
              <w:bottom w:val="nil"/>
              <w:right w:val="nil"/>
            </w:tcBorders>
            <w:shd w:val="clear" w:color="000000" w:fill="FFFFFF"/>
            <w:noWrap/>
            <w:vAlign w:val="bottom"/>
            <w:hideMark/>
          </w:tcPr>
          <w:p w14:paraId="438025D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0.0003</w:t>
            </w:r>
          </w:p>
        </w:tc>
        <w:tc>
          <w:tcPr>
            <w:tcW w:w="869" w:type="dxa"/>
            <w:tcBorders>
              <w:top w:val="nil"/>
              <w:left w:val="nil"/>
              <w:bottom w:val="nil"/>
              <w:right w:val="nil"/>
            </w:tcBorders>
            <w:shd w:val="clear" w:color="000000" w:fill="FFFFFF"/>
            <w:noWrap/>
            <w:vAlign w:val="bottom"/>
            <w:hideMark/>
          </w:tcPr>
          <w:p w14:paraId="263988A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0.0023</w:t>
            </w:r>
          </w:p>
        </w:tc>
        <w:tc>
          <w:tcPr>
            <w:tcW w:w="869" w:type="dxa"/>
            <w:tcBorders>
              <w:top w:val="nil"/>
              <w:left w:val="nil"/>
              <w:bottom w:val="nil"/>
              <w:right w:val="nil"/>
            </w:tcBorders>
            <w:shd w:val="clear" w:color="000000" w:fill="FFFFFF"/>
            <w:noWrap/>
            <w:vAlign w:val="bottom"/>
            <w:hideMark/>
          </w:tcPr>
          <w:p w14:paraId="083CEBD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0.0009</w:t>
            </w:r>
          </w:p>
        </w:tc>
        <w:tc>
          <w:tcPr>
            <w:tcW w:w="906" w:type="dxa"/>
            <w:tcBorders>
              <w:top w:val="nil"/>
              <w:left w:val="nil"/>
              <w:bottom w:val="nil"/>
              <w:right w:val="nil"/>
            </w:tcBorders>
            <w:shd w:val="clear" w:color="000000" w:fill="FFFFFF"/>
            <w:noWrap/>
            <w:vAlign w:val="bottom"/>
            <w:hideMark/>
          </w:tcPr>
          <w:p w14:paraId="2430DAF8"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0.0098</w:t>
            </w:r>
          </w:p>
        </w:tc>
        <w:tc>
          <w:tcPr>
            <w:tcW w:w="1032" w:type="dxa"/>
            <w:tcBorders>
              <w:top w:val="nil"/>
              <w:left w:val="nil"/>
              <w:bottom w:val="nil"/>
              <w:right w:val="nil"/>
            </w:tcBorders>
            <w:shd w:val="clear" w:color="000000" w:fill="FFFFFF"/>
            <w:noWrap/>
            <w:vAlign w:val="bottom"/>
            <w:hideMark/>
          </w:tcPr>
          <w:p w14:paraId="014D2E9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99.9902</w:t>
            </w:r>
          </w:p>
        </w:tc>
      </w:tr>
      <w:tr w:rsidR="00DC1DE1" w:rsidRPr="008C44E0" w14:paraId="7EF7FE83" w14:textId="77777777" w:rsidTr="00DC1DE1">
        <w:trPr>
          <w:trHeight w:val="230"/>
        </w:trPr>
        <w:tc>
          <w:tcPr>
            <w:tcW w:w="1014" w:type="dxa"/>
            <w:tcBorders>
              <w:top w:val="nil"/>
              <w:left w:val="nil"/>
              <w:bottom w:val="nil"/>
              <w:right w:val="nil"/>
            </w:tcBorders>
            <w:shd w:val="clear" w:color="000000" w:fill="FFFFFF"/>
            <w:noWrap/>
            <w:vAlign w:val="bottom"/>
            <w:hideMark/>
          </w:tcPr>
          <w:p w14:paraId="0DA1CF3F"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NOT-107</w:t>
            </w:r>
          </w:p>
        </w:tc>
        <w:tc>
          <w:tcPr>
            <w:tcW w:w="850" w:type="dxa"/>
            <w:tcBorders>
              <w:top w:val="nil"/>
              <w:left w:val="nil"/>
              <w:bottom w:val="nil"/>
              <w:right w:val="nil"/>
            </w:tcBorders>
            <w:shd w:val="clear" w:color="000000" w:fill="FFFFFF"/>
            <w:noWrap/>
            <w:vAlign w:val="bottom"/>
            <w:hideMark/>
          </w:tcPr>
          <w:p w14:paraId="139858E7"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0.0043</w:t>
            </w:r>
          </w:p>
        </w:tc>
        <w:tc>
          <w:tcPr>
            <w:tcW w:w="833" w:type="dxa"/>
            <w:tcBorders>
              <w:top w:val="nil"/>
              <w:left w:val="nil"/>
              <w:bottom w:val="nil"/>
              <w:right w:val="nil"/>
            </w:tcBorders>
            <w:shd w:val="clear" w:color="000000" w:fill="FFFFFF"/>
            <w:noWrap/>
            <w:vAlign w:val="bottom"/>
            <w:hideMark/>
          </w:tcPr>
          <w:p w14:paraId="569749C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0.0005</w:t>
            </w:r>
          </w:p>
        </w:tc>
        <w:tc>
          <w:tcPr>
            <w:tcW w:w="869" w:type="dxa"/>
            <w:tcBorders>
              <w:top w:val="nil"/>
              <w:left w:val="nil"/>
              <w:bottom w:val="nil"/>
              <w:right w:val="nil"/>
            </w:tcBorders>
            <w:shd w:val="clear" w:color="000000" w:fill="FFFFFF"/>
            <w:noWrap/>
            <w:vAlign w:val="bottom"/>
            <w:hideMark/>
          </w:tcPr>
          <w:p w14:paraId="04F748A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1DAB048A"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44D9DBC1"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0.0006</w:t>
            </w:r>
          </w:p>
        </w:tc>
        <w:tc>
          <w:tcPr>
            <w:tcW w:w="869" w:type="dxa"/>
            <w:tcBorders>
              <w:top w:val="nil"/>
              <w:left w:val="nil"/>
              <w:bottom w:val="nil"/>
              <w:right w:val="nil"/>
            </w:tcBorders>
            <w:shd w:val="clear" w:color="000000" w:fill="FFFFFF"/>
            <w:noWrap/>
            <w:vAlign w:val="bottom"/>
            <w:hideMark/>
          </w:tcPr>
          <w:p w14:paraId="74D048B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0.0016</w:t>
            </w:r>
          </w:p>
        </w:tc>
        <w:tc>
          <w:tcPr>
            <w:tcW w:w="869" w:type="dxa"/>
            <w:tcBorders>
              <w:top w:val="nil"/>
              <w:left w:val="nil"/>
              <w:bottom w:val="nil"/>
              <w:right w:val="nil"/>
            </w:tcBorders>
            <w:shd w:val="clear" w:color="000000" w:fill="FFFFFF"/>
            <w:noWrap/>
            <w:vAlign w:val="bottom"/>
            <w:hideMark/>
          </w:tcPr>
          <w:p w14:paraId="75835B64"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0.0007</w:t>
            </w:r>
          </w:p>
        </w:tc>
        <w:tc>
          <w:tcPr>
            <w:tcW w:w="906" w:type="dxa"/>
            <w:tcBorders>
              <w:top w:val="nil"/>
              <w:left w:val="nil"/>
              <w:bottom w:val="nil"/>
              <w:right w:val="nil"/>
            </w:tcBorders>
            <w:shd w:val="clear" w:color="000000" w:fill="FFFFFF"/>
            <w:noWrap/>
            <w:vAlign w:val="bottom"/>
            <w:hideMark/>
          </w:tcPr>
          <w:p w14:paraId="4B55F859"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0.0084</w:t>
            </w:r>
          </w:p>
        </w:tc>
        <w:tc>
          <w:tcPr>
            <w:tcW w:w="1032" w:type="dxa"/>
            <w:tcBorders>
              <w:top w:val="nil"/>
              <w:left w:val="nil"/>
              <w:bottom w:val="nil"/>
              <w:right w:val="nil"/>
            </w:tcBorders>
            <w:shd w:val="clear" w:color="000000" w:fill="FFFFFF"/>
            <w:noWrap/>
            <w:vAlign w:val="bottom"/>
            <w:hideMark/>
          </w:tcPr>
          <w:p w14:paraId="3C255343"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99.9916</w:t>
            </w:r>
          </w:p>
        </w:tc>
      </w:tr>
      <w:tr w:rsidR="00DC1DE1" w:rsidRPr="008C44E0" w14:paraId="301BC890" w14:textId="77777777" w:rsidTr="00DC1DE1">
        <w:trPr>
          <w:trHeight w:val="230"/>
        </w:trPr>
        <w:tc>
          <w:tcPr>
            <w:tcW w:w="1014" w:type="dxa"/>
            <w:tcBorders>
              <w:top w:val="nil"/>
              <w:left w:val="nil"/>
              <w:bottom w:val="nil"/>
              <w:right w:val="nil"/>
            </w:tcBorders>
            <w:shd w:val="clear" w:color="000000" w:fill="FFFFFF"/>
            <w:noWrap/>
            <w:vAlign w:val="bottom"/>
            <w:hideMark/>
          </w:tcPr>
          <w:p w14:paraId="0AEBEB3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TUR-117</w:t>
            </w:r>
          </w:p>
        </w:tc>
        <w:tc>
          <w:tcPr>
            <w:tcW w:w="850" w:type="dxa"/>
            <w:tcBorders>
              <w:top w:val="nil"/>
              <w:left w:val="nil"/>
              <w:bottom w:val="nil"/>
              <w:right w:val="nil"/>
            </w:tcBorders>
            <w:shd w:val="clear" w:color="000000" w:fill="FFFFFF"/>
            <w:noWrap/>
            <w:vAlign w:val="bottom"/>
            <w:hideMark/>
          </w:tcPr>
          <w:p w14:paraId="17AC628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0.0026</w:t>
            </w:r>
          </w:p>
        </w:tc>
        <w:tc>
          <w:tcPr>
            <w:tcW w:w="833" w:type="dxa"/>
            <w:tcBorders>
              <w:top w:val="nil"/>
              <w:left w:val="nil"/>
              <w:bottom w:val="nil"/>
              <w:right w:val="nil"/>
            </w:tcBorders>
            <w:shd w:val="clear" w:color="000000" w:fill="FFFFFF"/>
            <w:noWrap/>
            <w:vAlign w:val="bottom"/>
            <w:hideMark/>
          </w:tcPr>
          <w:p w14:paraId="4B4D511A"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702D2DC8"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0.0000</w:t>
            </w:r>
          </w:p>
        </w:tc>
        <w:tc>
          <w:tcPr>
            <w:tcW w:w="869" w:type="dxa"/>
            <w:tcBorders>
              <w:top w:val="nil"/>
              <w:left w:val="nil"/>
              <w:bottom w:val="nil"/>
              <w:right w:val="nil"/>
            </w:tcBorders>
            <w:shd w:val="clear" w:color="000000" w:fill="FFFFFF"/>
            <w:noWrap/>
            <w:vAlign w:val="bottom"/>
            <w:hideMark/>
          </w:tcPr>
          <w:p w14:paraId="10423B9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0.0007</w:t>
            </w:r>
          </w:p>
        </w:tc>
        <w:tc>
          <w:tcPr>
            <w:tcW w:w="869" w:type="dxa"/>
            <w:tcBorders>
              <w:top w:val="nil"/>
              <w:left w:val="nil"/>
              <w:bottom w:val="nil"/>
              <w:right w:val="nil"/>
            </w:tcBorders>
            <w:shd w:val="clear" w:color="000000" w:fill="FFFFFF"/>
            <w:noWrap/>
            <w:vAlign w:val="bottom"/>
            <w:hideMark/>
          </w:tcPr>
          <w:p w14:paraId="57F57D27"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0.0009</w:t>
            </w:r>
          </w:p>
        </w:tc>
        <w:tc>
          <w:tcPr>
            <w:tcW w:w="869" w:type="dxa"/>
            <w:tcBorders>
              <w:top w:val="nil"/>
              <w:left w:val="nil"/>
              <w:bottom w:val="nil"/>
              <w:right w:val="nil"/>
            </w:tcBorders>
            <w:shd w:val="clear" w:color="000000" w:fill="FFFFFF"/>
            <w:noWrap/>
            <w:vAlign w:val="bottom"/>
            <w:hideMark/>
          </w:tcPr>
          <w:p w14:paraId="7FCF24D2"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0.0012</w:t>
            </w:r>
          </w:p>
        </w:tc>
        <w:tc>
          <w:tcPr>
            <w:tcW w:w="869" w:type="dxa"/>
            <w:tcBorders>
              <w:top w:val="nil"/>
              <w:left w:val="nil"/>
              <w:bottom w:val="nil"/>
              <w:right w:val="nil"/>
            </w:tcBorders>
            <w:shd w:val="clear" w:color="000000" w:fill="FFFFFF"/>
            <w:noWrap/>
            <w:vAlign w:val="bottom"/>
            <w:hideMark/>
          </w:tcPr>
          <w:p w14:paraId="48C47C75"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0.0008</w:t>
            </w:r>
          </w:p>
        </w:tc>
        <w:tc>
          <w:tcPr>
            <w:tcW w:w="906" w:type="dxa"/>
            <w:tcBorders>
              <w:top w:val="nil"/>
              <w:left w:val="nil"/>
              <w:bottom w:val="nil"/>
              <w:right w:val="nil"/>
            </w:tcBorders>
            <w:shd w:val="clear" w:color="000000" w:fill="FFFFFF"/>
            <w:noWrap/>
            <w:vAlign w:val="bottom"/>
            <w:hideMark/>
          </w:tcPr>
          <w:p w14:paraId="34E76B32"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0.0063</w:t>
            </w:r>
          </w:p>
        </w:tc>
        <w:tc>
          <w:tcPr>
            <w:tcW w:w="1032" w:type="dxa"/>
            <w:tcBorders>
              <w:top w:val="nil"/>
              <w:left w:val="nil"/>
              <w:bottom w:val="nil"/>
              <w:right w:val="nil"/>
            </w:tcBorders>
            <w:shd w:val="clear" w:color="000000" w:fill="FFFFFF"/>
            <w:noWrap/>
            <w:vAlign w:val="bottom"/>
            <w:hideMark/>
          </w:tcPr>
          <w:p w14:paraId="2D083D13"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99.9937</w:t>
            </w:r>
          </w:p>
        </w:tc>
      </w:tr>
      <w:tr w:rsidR="00DC1DE1" w:rsidRPr="008C44E0" w14:paraId="679F7E97" w14:textId="77777777" w:rsidTr="00DC1DE1">
        <w:trPr>
          <w:trHeight w:val="230"/>
        </w:trPr>
        <w:tc>
          <w:tcPr>
            <w:tcW w:w="1014" w:type="dxa"/>
            <w:tcBorders>
              <w:top w:val="nil"/>
              <w:left w:val="nil"/>
              <w:bottom w:val="nil"/>
              <w:right w:val="nil"/>
            </w:tcBorders>
            <w:shd w:val="clear" w:color="000000" w:fill="FFFFFF"/>
            <w:noWrap/>
            <w:vAlign w:val="bottom"/>
            <w:hideMark/>
          </w:tcPr>
          <w:p w14:paraId="34E9FAC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TUR-123</w:t>
            </w:r>
          </w:p>
        </w:tc>
        <w:tc>
          <w:tcPr>
            <w:tcW w:w="850" w:type="dxa"/>
            <w:tcBorders>
              <w:top w:val="nil"/>
              <w:left w:val="nil"/>
              <w:bottom w:val="nil"/>
              <w:right w:val="nil"/>
            </w:tcBorders>
            <w:shd w:val="clear" w:color="000000" w:fill="FFFFFF"/>
            <w:noWrap/>
            <w:vAlign w:val="bottom"/>
            <w:hideMark/>
          </w:tcPr>
          <w:p w14:paraId="0F47770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0.0089</w:t>
            </w:r>
          </w:p>
        </w:tc>
        <w:tc>
          <w:tcPr>
            <w:tcW w:w="833" w:type="dxa"/>
            <w:tcBorders>
              <w:top w:val="nil"/>
              <w:left w:val="nil"/>
              <w:bottom w:val="nil"/>
              <w:right w:val="nil"/>
            </w:tcBorders>
            <w:shd w:val="clear" w:color="000000" w:fill="FFFFFF"/>
            <w:noWrap/>
            <w:vAlign w:val="bottom"/>
            <w:hideMark/>
          </w:tcPr>
          <w:p w14:paraId="43AEC267"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2264C85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0.0001</w:t>
            </w:r>
          </w:p>
        </w:tc>
        <w:tc>
          <w:tcPr>
            <w:tcW w:w="869" w:type="dxa"/>
            <w:tcBorders>
              <w:top w:val="nil"/>
              <w:left w:val="nil"/>
              <w:bottom w:val="nil"/>
              <w:right w:val="nil"/>
            </w:tcBorders>
            <w:shd w:val="clear" w:color="000000" w:fill="FFFFFF"/>
            <w:noWrap/>
            <w:vAlign w:val="bottom"/>
            <w:hideMark/>
          </w:tcPr>
          <w:p w14:paraId="0F6703D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0.0008</w:t>
            </w:r>
          </w:p>
        </w:tc>
        <w:tc>
          <w:tcPr>
            <w:tcW w:w="869" w:type="dxa"/>
            <w:tcBorders>
              <w:top w:val="nil"/>
              <w:left w:val="nil"/>
              <w:bottom w:val="nil"/>
              <w:right w:val="nil"/>
            </w:tcBorders>
            <w:shd w:val="clear" w:color="000000" w:fill="FFFFFF"/>
            <w:noWrap/>
            <w:vAlign w:val="bottom"/>
            <w:hideMark/>
          </w:tcPr>
          <w:p w14:paraId="7E0BB641"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0.0004</w:t>
            </w:r>
          </w:p>
        </w:tc>
        <w:tc>
          <w:tcPr>
            <w:tcW w:w="869" w:type="dxa"/>
            <w:tcBorders>
              <w:top w:val="nil"/>
              <w:left w:val="nil"/>
              <w:bottom w:val="nil"/>
              <w:right w:val="nil"/>
            </w:tcBorders>
            <w:shd w:val="clear" w:color="000000" w:fill="FFFFFF"/>
            <w:noWrap/>
            <w:vAlign w:val="bottom"/>
            <w:hideMark/>
          </w:tcPr>
          <w:p w14:paraId="225BE9AE"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0.0015</w:t>
            </w:r>
          </w:p>
        </w:tc>
        <w:tc>
          <w:tcPr>
            <w:tcW w:w="869" w:type="dxa"/>
            <w:tcBorders>
              <w:top w:val="nil"/>
              <w:left w:val="nil"/>
              <w:bottom w:val="nil"/>
              <w:right w:val="nil"/>
            </w:tcBorders>
            <w:shd w:val="clear" w:color="000000" w:fill="FFFFFF"/>
            <w:noWrap/>
            <w:vAlign w:val="bottom"/>
            <w:hideMark/>
          </w:tcPr>
          <w:p w14:paraId="3B207AAC"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0.0000</w:t>
            </w:r>
          </w:p>
        </w:tc>
        <w:tc>
          <w:tcPr>
            <w:tcW w:w="906" w:type="dxa"/>
            <w:tcBorders>
              <w:top w:val="nil"/>
              <w:left w:val="nil"/>
              <w:bottom w:val="nil"/>
              <w:right w:val="nil"/>
            </w:tcBorders>
            <w:shd w:val="clear" w:color="000000" w:fill="FFFFFF"/>
            <w:noWrap/>
            <w:vAlign w:val="bottom"/>
            <w:hideMark/>
          </w:tcPr>
          <w:p w14:paraId="680EF6BE"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0.0118</w:t>
            </w:r>
          </w:p>
        </w:tc>
        <w:tc>
          <w:tcPr>
            <w:tcW w:w="1032" w:type="dxa"/>
            <w:tcBorders>
              <w:top w:val="nil"/>
              <w:left w:val="nil"/>
              <w:bottom w:val="nil"/>
              <w:right w:val="nil"/>
            </w:tcBorders>
            <w:shd w:val="clear" w:color="000000" w:fill="FFFFFF"/>
            <w:noWrap/>
            <w:vAlign w:val="bottom"/>
            <w:hideMark/>
          </w:tcPr>
          <w:p w14:paraId="211CC432"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99.9882</w:t>
            </w:r>
          </w:p>
        </w:tc>
      </w:tr>
      <w:tr w:rsidR="00DC1DE1" w:rsidRPr="008C44E0" w14:paraId="5BF99280" w14:textId="77777777" w:rsidTr="00DC1DE1">
        <w:trPr>
          <w:trHeight w:val="242"/>
        </w:trPr>
        <w:tc>
          <w:tcPr>
            <w:tcW w:w="1014" w:type="dxa"/>
            <w:tcBorders>
              <w:top w:val="nil"/>
              <w:left w:val="nil"/>
              <w:bottom w:val="single" w:sz="8" w:space="0" w:color="auto"/>
              <w:right w:val="nil"/>
            </w:tcBorders>
            <w:shd w:val="clear" w:color="000000" w:fill="FFFFFF"/>
            <w:noWrap/>
            <w:vAlign w:val="bottom"/>
            <w:hideMark/>
          </w:tcPr>
          <w:p w14:paraId="6CC84B2F"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TUR-132</w:t>
            </w:r>
          </w:p>
        </w:tc>
        <w:tc>
          <w:tcPr>
            <w:tcW w:w="850" w:type="dxa"/>
            <w:tcBorders>
              <w:top w:val="nil"/>
              <w:left w:val="nil"/>
              <w:bottom w:val="single" w:sz="8" w:space="0" w:color="auto"/>
              <w:right w:val="nil"/>
            </w:tcBorders>
            <w:shd w:val="clear" w:color="000000" w:fill="FFFFFF"/>
            <w:noWrap/>
            <w:vAlign w:val="bottom"/>
            <w:hideMark/>
          </w:tcPr>
          <w:p w14:paraId="5AF92C3B"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0.0017</w:t>
            </w:r>
          </w:p>
        </w:tc>
        <w:tc>
          <w:tcPr>
            <w:tcW w:w="833" w:type="dxa"/>
            <w:tcBorders>
              <w:top w:val="nil"/>
              <w:left w:val="nil"/>
              <w:bottom w:val="single" w:sz="8" w:space="0" w:color="auto"/>
              <w:right w:val="nil"/>
            </w:tcBorders>
            <w:shd w:val="clear" w:color="000000" w:fill="FFFFFF"/>
            <w:noWrap/>
            <w:vAlign w:val="bottom"/>
            <w:hideMark/>
          </w:tcPr>
          <w:p w14:paraId="2422AB7A"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0.0014</w:t>
            </w:r>
          </w:p>
        </w:tc>
        <w:tc>
          <w:tcPr>
            <w:tcW w:w="869" w:type="dxa"/>
            <w:tcBorders>
              <w:top w:val="nil"/>
              <w:left w:val="nil"/>
              <w:bottom w:val="single" w:sz="8" w:space="0" w:color="auto"/>
              <w:right w:val="nil"/>
            </w:tcBorders>
            <w:shd w:val="clear" w:color="000000" w:fill="FFFFFF"/>
            <w:noWrap/>
            <w:vAlign w:val="bottom"/>
            <w:hideMark/>
          </w:tcPr>
          <w:p w14:paraId="61192B34"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0.0000</w:t>
            </w:r>
          </w:p>
        </w:tc>
        <w:tc>
          <w:tcPr>
            <w:tcW w:w="869" w:type="dxa"/>
            <w:tcBorders>
              <w:top w:val="nil"/>
              <w:left w:val="nil"/>
              <w:bottom w:val="single" w:sz="8" w:space="0" w:color="auto"/>
              <w:right w:val="nil"/>
            </w:tcBorders>
            <w:shd w:val="clear" w:color="000000" w:fill="FFFFFF"/>
            <w:noWrap/>
            <w:vAlign w:val="bottom"/>
            <w:hideMark/>
          </w:tcPr>
          <w:p w14:paraId="1D9B5976"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0.0012</w:t>
            </w:r>
          </w:p>
        </w:tc>
        <w:tc>
          <w:tcPr>
            <w:tcW w:w="869" w:type="dxa"/>
            <w:tcBorders>
              <w:top w:val="nil"/>
              <w:left w:val="nil"/>
              <w:bottom w:val="single" w:sz="8" w:space="0" w:color="auto"/>
              <w:right w:val="nil"/>
            </w:tcBorders>
            <w:shd w:val="clear" w:color="000000" w:fill="FFFFFF"/>
            <w:noWrap/>
            <w:vAlign w:val="bottom"/>
            <w:hideMark/>
          </w:tcPr>
          <w:p w14:paraId="6BC3C919"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0.0003</w:t>
            </w:r>
          </w:p>
        </w:tc>
        <w:tc>
          <w:tcPr>
            <w:tcW w:w="869" w:type="dxa"/>
            <w:tcBorders>
              <w:top w:val="nil"/>
              <w:left w:val="nil"/>
              <w:bottom w:val="single" w:sz="8" w:space="0" w:color="auto"/>
              <w:right w:val="nil"/>
            </w:tcBorders>
            <w:shd w:val="clear" w:color="000000" w:fill="FFFFFF"/>
            <w:noWrap/>
            <w:vAlign w:val="bottom"/>
            <w:hideMark/>
          </w:tcPr>
          <w:p w14:paraId="5106BDFD"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0.0019</w:t>
            </w:r>
          </w:p>
        </w:tc>
        <w:tc>
          <w:tcPr>
            <w:tcW w:w="869" w:type="dxa"/>
            <w:tcBorders>
              <w:top w:val="nil"/>
              <w:left w:val="nil"/>
              <w:bottom w:val="single" w:sz="8" w:space="0" w:color="auto"/>
              <w:right w:val="nil"/>
            </w:tcBorders>
            <w:shd w:val="clear" w:color="000000" w:fill="FFFFFF"/>
            <w:noWrap/>
            <w:vAlign w:val="bottom"/>
            <w:hideMark/>
          </w:tcPr>
          <w:p w14:paraId="0AB38122"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0.0000</w:t>
            </w:r>
          </w:p>
        </w:tc>
        <w:tc>
          <w:tcPr>
            <w:tcW w:w="906" w:type="dxa"/>
            <w:tcBorders>
              <w:top w:val="nil"/>
              <w:left w:val="nil"/>
              <w:bottom w:val="single" w:sz="8" w:space="0" w:color="auto"/>
              <w:right w:val="nil"/>
            </w:tcBorders>
            <w:shd w:val="clear" w:color="000000" w:fill="FFFFFF"/>
            <w:noWrap/>
            <w:vAlign w:val="bottom"/>
            <w:hideMark/>
          </w:tcPr>
          <w:p w14:paraId="236DB03F" w14:textId="77777777" w:rsidR="00DC1DE1" w:rsidRPr="008C44E0" w:rsidRDefault="00DC1DE1" w:rsidP="00067527">
            <w:pPr>
              <w:spacing w:after="0" w:line="276" w:lineRule="auto"/>
              <w:jc w:val="center"/>
              <w:rPr>
                <w:rFonts w:ascii="Times New Roman" w:hAnsi="Times New Roman" w:cs="Times New Roman"/>
                <w:b/>
                <w:bCs/>
                <w:color w:val="000000"/>
                <w:sz w:val="20"/>
                <w:szCs w:val="20"/>
                <w:lang w:eastAsia="en-GB"/>
              </w:rPr>
            </w:pPr>
            <w:r w:rsidRPr="008C44E0">
              <w:rPr>
                <w:rFonts w:ascii="Times New Roman" w:hAnsi="Times New Roman" w:cs="Times New Roman"/>
                <w:b/>
                <w:bCs/>
                <w:color w:val="000000"/>
                <w:sz w:val="20"/>
                <w:szCs w:val="20"/>
                <w:lang w:eastAsia="en-GB"/>
              </w:rPr>
              <w:t>0.0065</w:t>
            </w:r>
          </w:p>
        </w:tc>
        <w:tc>
          <w:tcPr>
            <w:tcW w:w="1032" w:type="dxa"/>
            <w:tcBorders>
              <w:top w:val="nil"/>
              <w:left w:val="nil"/>
              <w:bottom w:val="single" w:sz="8" w:space="0" w:color="auto"/>
              <w:right w:val="nil"/>
            </w:tcBorders>
            <w:shd w:val="clear" w:color="000000" w:fill="FFFFFF"/>
            <w:noWrap/>
            <w:vAlign w:val="bottom"/>
            <w:hideMark/>
          </w:tcPr>
          <w:p w14:paraId="420F31E2" w14:textId="77777777" w:rsidR="00DC1DE1" w:rsidRPr="008C44E0" w:rsidRDefault="00DC1DE1" w:rsidP="00067527">
            <w:pPr>
              <w:spacing w:after="0" w:line="276" w:lineRule="auto"/>
              <w:jc w:val="center"/>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99.9935</w:t>
            </w:r>
          </w:p>
        </w:tc>
      </w:tr>
      <w:tr w:rsidR="00DC1DE1" w:rsidRPr="008C44E0" w14:paraId="245AB5E3" w14:textId="77777777" w:rsidTr="00DC1DE1">
        <w:trPr>
          <w:trHeight w:val="230"/>
        </w:trPr>
        <w:tc>
          <w:tcPr>
            <w:tcW w:w="1014" w:type="dxa"/>
            <w:tcBorders>
              <w:top w:val="nil"/>
              <w:left w:val="nil"/>
              <w:bottom w:val="nil"/>
              <w:right w:val="nil"/>
            </w:tcBorders>
            <w:shd w:val="clear" w:color="000000" w:fill="FFFFFF"/>
            <w:noWrap/>
            <w:vAlign w:val="bottom"/>
            <w:hideMark/>
          </w:tcPr>
          <w:p w14:paraId="10762BD1" w14:textId="7E098927" w:rsidR="00DC1DE1" w:rsidRPr="008C44E0" w:rsidRDefault="00DC1DE1" w:rsidP="00067527">
            <w:pPr>
              <w:spacing w:after="0" w:line="276" w:lineRule="auto"/>
              <w:rPr>
                <w:rFonts w:ascii="Times New Roman" w:hAnsi="Times New Roman" w:cs="Times New Roman"/>
                <w:color w:val="000000"/>
                <w:sz w:val="20"/>
                <w:szCs w:val="20"/>
                <w:lang w:eastAsia="en-GB"/>
              </w:rPr>
            </w:pPr>
          </w:p>
        </w:tc>
        <w:tc>
          <w:tcPr>
            <w:tcW w:w="850" w:type="dxa"/>
            <w:tcBorders>
              <w:top w:val="nil"/>
              <w:left w:val="nil"/>
              <w:bottom w:val="nil"/>
              <w:right w:val="nil"/>
            </w:tcBorders>
            <w:shd w:val="clear" w:color="000000" w:fill="FFFFFF"/>
            <w:noWrap/>
            <w:vAlign w:val="bottom"/>
            <w:hideMark/>
          </w:tcPr>
          <w:p w14:paraId="207BB94F"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33" w:type="dxa"/>
            <w:tcBorders>
              <w:top w:val="nil"/>
              <w:left w:val="nil"/>
              <w:bottom w:val="nil"/>
              <w:right w:val="nil"/>
            </w:tcBorders>
            <w:shd w:val="clear" w:color="000000" w:fill="FFFFFF"/>
            <w:noWrap/>
            <w:vAlign w:val="bottom"/>
            <w:hideMark/>
          </w:tcPr>
          <w:p w14:paraId="4580D102"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nil"/>
              <w:right w:val="nil"/>
            </w:tcBorders>
            <w:shd w:val="clear" w:color="000000" w:fill="FFFFFF"/>
            <w:noWrap/>
            <w:vAlign w:val="bottom"/>
            <w:hideMark/>
          </w:tcPr>
          <w:p w14:paraId="79DF143D"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nil"/>
              <w:right w:val="nil"/>
            </w:tcBorders>
            <w:shd w:val="clear" w:color="000000" w:fill="FFFFFF"/>
            <w:noWrap/>
            <w:vAlign w:val="bottom"/>
            <w:hideMark/>
          </w:tcPr>
          <w:p w14:paraId="7E18522E"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nil"/>
              <w:right w:val="nil"/>
            </w:tcBorders>
            <w:shd w:val="clear" w:color="000000" w:fill="FFFFFF"/>
            <w:noWrap/>
            <w:vAlign w:val="bottom"/>
            <w:hideMark/>
          </w:tcPr>
          <w:p w14:paraId="0615AFD1"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nil"/>
              <w:right w:val="nil"/>
            </w:tcBorders>
            <w:shd w:val="clear" w:color="000000" w:fill="FFFFFF"/>
            <w:noWrap/>
            <w:vAlign w:val="bottom"/>
            <w:hideMark/>
          </w:tcPr>
          <w:p w14:paraId="09069735"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869" w:type="dxa"/>
            <w:tcBorders>
              <w:top w:val="nil"/>
              <w:left w:val="nil"/>
              <w:bottom w:val="nil"/>
              <w:right w:val="nil"/>
            </w:tcBorders>
            <w:shd w:val="clear" w:color="000000" w:fill="FFFFFF"/>
            <w:noWrap/>
            <w:vAlign w:val="bottom"/>
            <w:hideMark/>
          </w:tcPr>
          <w:p w14:paraId="5CE37B28"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906" w:type="dxa"/>
            <w:tcBorders>
              <w:top w:val="nil"/>
              <w:left w:val="nil"/>
              <w:bottom w:val="nil"/>
              <w:right w:val="nil"/>
            </w:tcBorders>
            <w:shd w:val="clear" w:color="000000" w:fill="FFFFFF"/>
            <w:noWrap/>
            <w:vAlign w:val="bottom"/>
            <w:hideMark/>
          </w:tcPr>
          <w:p w14:paraId="1DF8A27F"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c>
          <w:tcPr>
            <w:tcW w:w="1032" w:type="dxa"/>
            <w:tcBorders>
              <w:top w:val="nil"/>
              <w:left w:val="nil"/>
              <w:bottom w:val="nil"/>
              <w:right w:val="nil"/>
            </w:tcBorders>
            <w:shd w:val="clear" w:color="000000" w:fill="FFFFFF"/>
            <w:noWrap/>
            <w:vAlign w:val="bottom"/>
            <w:hideMark/>
          </w:tcPr>
          <w:p w14:paraId="667EAA5E" w14:textId="77777777" w:rsidR="00DC1DE1" w:rsidRPr="008C44E0" w:rsidRDefault="00DC1DE1" w:rsidP="00067527">
            <w:pPr>
              <w:spacing w:after="0" w:line="276" w:lineRule="auto"/>
              <w:rPr>
                <w:rFonts w:ascii="Times New Roman" w:hAnsi="Times New Roman" w:cs="Times New Roman"/>
                <w:color w:val="000000"/>
                <w:sz w:val="20"/>
                <w:szCs w:val="20"/>
                <w:lang w:eastAsia="en-GB"/>
              </w:rPr>
            </w:pPr>
            <w:r w:rsidRPr="008C44E0">
              <w:rPr>
                <w:rFonts w:ascii="Times New Roman" w:hAnsi="Times New Roman" w:cs="Times New Roman"/>
                <w:color w:val="000000"/>
                <w:sz w:val="20"/>
                <w:szCs w:val="20"/>
                <w:lang w:eastAsia="en-GB"/>
              </w:rPr>
              <w:t> </w:t>
            </w:r>
          </w:p>
        </w:tc>
      </w:tr>
    </w:tbl>
    <w:p w14:paraId="470081DB" w14:textId="253698DD" w:rsidR="00DC1DE1" w:rsidRPr="00DC1DE1" w:rsidRDefault="00DC1DE1" w:rsidP="00AD3C69">
      <w:pPr>
        <w:spacing w:line="360" w:lineRule="auto"/>
        <w:rPr>
          <w:rFonts w:ascii="Times New Roman" w:eastAsia="Aptos" w:hAnsi="Times New Roman" w:cs="Times New Roman"/>
          <w:sz w:val="20"/>
          <w:szCs w:val="20"/>
        </w:rPr>
      </w:pPr>
      <w:r w:rsidRPr="00DC1DE1">
        <w:rPr>
          <w:rFonts w:ascii="Times New Roman" w:eastAsia="Aptos" w:hAnsi="Times New Roman" w:cs="Times New Roman"/>
          <w:sz w:val="20"/>
          <w:szCs w:val="20"/>
        </w:rPr>
        <w:t>Trace element concentrations in Mt Murphy quartz mineral separates were obtained by Inductively Coupled Plasma Optical Emission Spectrometer (ICP-OES) following quartz purification at Imperial College London. We  calculated the equivalent weight % of the oxides Al</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O</w:t>
      </w:r>
      <w:r w:rsidRPr="00DC1DE1">
        <w:rPr>
          <w:rFonts w:ascii="Times New Roman" w:eastAsia="Aptos" w:hAnsi="Times New Roman" w:cs="Times New Roman"/>
          <w:sz w:val="20"/>
          <w:szCs w:val="20"/>
          <w:vertAlign w:val="subscript"/>
        </w:rPr>
        <w:t>3</w:t>
      </w:r>
      <w:r w:rsidRPr="00DC1DE1">
        <w:rPr>
          <w:rFonts w:ascii="Times New Roman" w:eastAsia="Aptos" w:hAnsi="Times New Roman" w:cs="Times New Roman"/>
          <w:sz w:val="20"/>
          <w:szCs w:val="20"/>
        </w:rPr>
        <w:t>, Fe</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O</w:t>
      </w:r>
      <w:r w:rsidRPr="00DC1DE1">
        <w:rPr>
          <w:rFonts w:ascii="Times New Roman" w:eastAsia="Aptos" w:hAnsi="Times New Roman" w:cs="Times New Roman"/>
          <w:sz w:val="20"/>
          <w:szCs w:val="20"/>
          <w:vertAlign w:val="subscript"/>
        </w:rPr>
        <w:t>3</w:t>
      </w:r>
      <w:r w:rsidRPr="00DC1DE1">
        <w:rPr>
          <w:rFonts w:ascii="Times New Roman" w:eastAsia="Aptos" w:hAnsi="Times New Roman" w:cs="Times New Roman"/>
          <w:sz w:val="20"/>
          <w:szCs w:val="20"/>
        </w:rPr>
        <w:t>, MgO, CaO, Na</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O, TiO</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 and K</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O in Mt Murphy samples from the ICP-OES elemental concentration data. We used the MATLAB code of Koester and Lifton (2023) to calculate compositionally dependent, site-specific production rates (at g</w:t>
      </w:r>
      <w:r w:rsidRPr="00DC1DE1">
        <w:rPr>
          <w:rFonts w:ascii="Times New Roman" w:eastAsia="Aptos" w:hAnsi="Times New Roman" w:cs="Times New Roman"/>
          <w:sz w:val="20"/>
          <w:szCs w:val="20"/>
          <w:vertAlign w:val="superscript"/>
        </w:rPr>
        <w:t>-1</w:t>
      </w:r>
      <w:r w:rsidRPr="00DC1DE1">
        <w:rPr>
          <w:rFonts w:ascii="Times New Roman" w:eastAsia="Aptos" w:hAnsi="Times New Roman" w:cs="Times New Roman"/>
          <w:sz w:val="20"/>
          <w:szCs w:val="20"/>
        </w:rPr>
        <w:t xml:space="preserve"> yr</w:t>
      </w:r>
      <w:r w:rsidRPr="00DC1DE1">
        <w:rPr>
          <w:rFonts w:ascii="Times New Roman" w:eastAsia="Aptos" w:hAnsi="Times New Roman" w:cs="Times New Roman"/>
          <w:sz w:val="20"/>
          <w:szCs w:val="20"/>
          <w:vertAlign w:val="superscript"/>
        </w:rPr>
        <w:t>-1</w:t>
      </w:r>
      <w:r w:rsidRPr="00DC1DE1">
        <w:rPr>
          <w:rFonts w:ascii="Times New Roman" w:eastAsia="Aptos" w:hAnsi="Times New Roman" w:cs="Times New Roman"/>
          <w:sz w:val="20"/>
          <w:szCs w:val="20"/>
        </w:rPr>
        <w:t>) for each Mt</w:t>
      </w:r>
      <w:r w:rsidR="00AD3C69">
        <w:rPr>
          <w:rFonts w:ascii="Times New Roman" w:eastAsia="Aptos" w:hAnsi="Times New Roman" w:cs="Times New Roman"/>
          <w:sz w:val="20"/>
          <w:szCs w:val="20"/>
        </w:rPr>
        <w:t xml:space="preserve"> </w:t>
      </w:r>
      <w:r w:rsidRPr="00DC1DE1">
        <w:rPr>
          <w:rFonts w:ascii="Times New Roman" w:eastAsia="Aptos" w:hAnsi="Times New Roman" w:cs="Times New Roman"/>
          <w:sz w:val="20"/>
          <w:szCs w:val="20"/>
        </w:rPr>
        <w:t xml:space="preserve">Murphy sample measured for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(Table </w:t>
      </w:r>
      <w:r w:rsidR="001118CA">
        <w:rPr>
          <w:rFonts w:ascii="Times New Roman" w:eastAsia="Aptos" w:hAnsi="Times New Roman" w:cs="Times New Roman"/>
          <w:sz w:val="20"/>
          <w:szCs w:val="20"/>
        </w:rPr>
        <w:t>S</w:t>
      </w:r>
      <w:r w:rsidR="00C76F74">
        <w:rPr>
          <w:rFonts w:ascii="Times New Roman" w:eastAsia="Aptos" w:hAnsi="Times New Roman" w:cs="Times New Roman"/>
          <w:sz w:val="20"/>
          <w:szCs w:val="20"/>
        </w:rPr>
        <w:t>5</w:t>
      </w:r>
      <w:r w:rsidRPr="00DC1DE1">
        <w:rPr>
          <w:rFonts w:ascii="Times New Roman" w:eastAsia="Aptos" w:hAnsi="Times New Roman" w:cs="Times New Roman"/>
          <w:sz w:val="20"/>
          <w:szCs w:val="20"/>
        </w:rPr>
        <w:t xml:space="preserve">). Our analysis shows that 1) the elemental abundance of the target element impurities in the Mt Murphy mineral separates is extremely low for all samples, i.e., the quartz purity of Mt Murphy samples is high (&gt; 99.9 %) (Table </w:t>
      </w:r>
      <w:r w:rsidR="001118CA">
        <w:rPr>
          <w:rFonts w:ascii="Times New Roman" w:eastAsia="Aptos" w:hAnsi="Times New Roman" w:cs="Times New Roman"/>
          <w:sz w:val="20"/>
          <w:szCs w:val="20"/>
        </w:rPr>
        <w:t>S</w:t>
      </w:r>
      <w:r w:rsidR="00C76F74">
        <w:rPr>
          <w:rFonts w:ascii="Times New Roman" w:eastAsia="Aptos" w:hAnsi="Times New Roman" w:cs="Times New Roman"/>
          <w:sz w:val="20"/>
          <w:szCs w:val="20"/>
        </w:rPr>
        <w:t>4</w:t>
      </w:r>
      <w:r w:rsidRPr="00DC1DE1">
        <w:rPr>
          <w:rFonts w:ascii="Times New Roman" w:eastAsia="Aptos" w:hAnsi="Times New Roman" w:cs="Times New Roman"/>
          <w:sz w:val="20"/>
          <w:szCs w:val="20"/>
        </w:rPr>
        <w:t xml:space="preserve">) and 2) trace elemental impurities that persisted in </w:t>
      </w:r>
      <w:r w:rsidRPr="00DC1DE1">
        <w:rPr>
          <w:rFonts w:ascii="Times New Roman" w:eastAsia="Aptos" w:hAnsi="Times New Roman" w:cs="Times New Roman"/>
          <w:sz w:val="20"/>
          <w:szCs w:val="20"/>
        </w:rPr>
        <w:lastRenderedPageBreak/>
        <w:t xml:space="preserve">mineral separates following quartz purification do not significantly impact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spallogenic production rates.</w:t>
      </w:r>
    </w:p>
    <w:p w14:paraId="2207A816" w14:textId="107EFE97" w:rsidR="00DC1DE1" w:rsidRPr="00DC1DE1" w:rsidRDefault="00DC1DE1" w:rsidP="00AD3C69">
      <w:pPr>
        <w:spacing w:line="240" w:lineRule="auto"/>
        <w:rPr>
          <w:rFonts w:ascii="Times New Roman" w:eastAsia="Aptos" w:hAnsi="Times New Roman" w:cs="Times New Roman"/>
          <w:sz w:val="20"/>
          <w:szCs w:val="20"/>
        </w:rPr>
      </w:pPr>
      <w:r w:rsidRPr="00DC1DE1">
        <w:rPr>
          <w:rFonts w:ascii="Times New Roman" w:eastAsia="Aptos" w:hAnsi="Times New Roman" w:cs="Times New Roman"/>
          <w:b/>
          <w:bCs/>
          <w:sz w:val="20"/>
          <w:szCs w:val="20"/>
        </w:rPr>
        <w:t xml:space="preserve">Table </w:t>
      </w:r>
      <w:r w:rsidR="00E71A2B">
        <w:rPr>
          <w:rFonts w:ascii="Times New Roman" w:eastAsia="Aptos" w:hAnsi="Times New Roman" w:cs="Times New Roman"/>
          <w:b/>
          <w:bCs/>
          <w:sz w:val="20"/>
          <w:szCs w:val="20"/>
        </w:rPr>
        <w:t>S</w:t>
      </w:r>
      <w:r w:rsidR="00C76F74">
        <w:rPr>
          <w:rFonts w:ascii="Times New Roman" w:eastAsia="Aptos" w:hAnsi="Times New Roman" w:cs="Times New Roman"/>
          <w:b/>
          <w:bCs/>
          <w:sz w:val="20"/>
          <w:szCs w:val="20"/>
        </w:rPr>
        <w:t>5</w:t>
      </w:r>
      <w:r w:rsidRPr="00DC1DE1">
        <w:rPr>
          <w:rFonts w:ascii="Times New Roman" w:eastAsia="Aptos" w:hAnsi="Times New Roman" w:cs="Times New Roman"/>
          <w:sz w:val="20"/>
          <w:szCs w:val="20"/>
        </w:rPr>
        <w:t xml:space="preserve">: Comparison of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compositionally dependent, site-specific production rates (P</w:t>
      </w:r>
      <w:r w:rsidRPr="00DC1DE1">
        <w:rPr>
          <w:rFonts w:ascii="Times New Roman" w:eastAsia="Aptos" w:hAnsi="Times New Roman" w:cs="Times New Roman"/>
          <w:sz w:val="20"/>
          <w:szCs w:val="20"/>
          <w:vertAlign w:val="subscript"/>
        </w:rPr>
        <w:t>CD</w:t>
      </w:r>
      <w:r w:rsidRPr="00DC1DE1">
        <w:rPr>
          <w:rFonts w:ascii="Times New Roman" w:eastAsia="Aptos" w:hAnsi="Times New Roman" w:cs="Times New Roman"/>
          <w:sz w:val="20"/>
          <w:szCs w:val="20"/>
        </w:rPr>
        <w:t xml:space="preserve">) for Mt Murphy quartz mineral separates. The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production rate calculated with the elemental impurities measured in the quartz minerals by ICP-OES (Table </w:t>
      </w:r>
      <w:r w:rsidR="00C76F74">
        <w:rPr>
          <w:rFonts w:ascii="Times New Roman" w:eastAsia="Aptos" w:hAnsi="Times New Roman" w:cs="Times New Roman"/>
          <w:sz w:val="20"/>
          <w:szCs w:val="20"/>
        </w:rPr>
        <w:t>S4</w:t>
      </w:r>
      <w:r w:rsidRPr="00DC1DE1">
        <w:rPr>
          <w:rFonts w:ascii="Times New Roman" w:eastAsia="Aptos" w:hAnsi="Times New Roman" w:cs="Times New Roman"/>
          <w:sz w:val="20"/>
          <w:szCs w:val="20"/>
        </w:rPr>
        <w:t xml:space="preserve">) is contrasted to the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production rate for the same samples assuming they are compositionally 100 % SiO</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 xml:space="preserve">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production rates calculated using the </w:t>
      </w:r>
      <w:proofErr w:type="spellStart"/>
      <w:r w:rsidRPr="00DC1DE1">
        <w:rPr>
          <w:rFonts w:ascii="Times New Roman" w:eastAsia="Aptos" w:hAnsi="Times New Roman" w:cs="Times New Roman"/>
          <w:sz w:val="20"/>
          <w:szCs w:val="20"/>
        </w:rPr>
        <w:t>LSDn</w:t>
      </w:r>
      <w:proofErr w:type="spellEnd"/>
      <w:r w:rsidRPr="00DC1DE1">
        <w:rPr>
          <w:rFonts w:ascii="Times New Roman" w:eastAsia="Aptos" w:hAnsi="Times New Roman" w:cs="Times New Roman"/>
          <w:sz w:val="20"/>
          <w:szCs w:val="20"/>
        </w:rPr>
        <w:t xml:space="preserve"> scaling scheme of</w:t>
      </w:r>
      <w:r w:rsidR="00E54401">
        <w:rPr>
          <w:rFonts w:ascii="Times New Roman" w:eastAsia="Aptos" w:hAnsi="Times New Roman" w:cs="Times New Roman"/>
          <w:sz w:val="20"/>
          <w:szCs w:val="20"/>
        </w:rPr>
        <w:t xml:space="preserve"> </w:t>
      </w:r>
      <w:r w:rsidR="00E54401">
        <w:rPr>
          <w:rFonts w:ascii="Times New Roman" w:eastAsia="Aptos" w:hAnsi="Times New Roman" w:cs="Times New Roman"/>
          <w:sz w:val="20"/>
          <w:szCs w:val="20"/>
        </w:rPr>
        <w:fldChar w:fldCharType="begin" w:fldLock="1"/>
      </w:r>
      <w:r w:rsidR="00E54401">
        <w:rPr>
          <w:rFonts w:ascii="Times New Roman" w:eastAsia="Aptos" w:hAnsi="Times New Roman" w:cs="Times New Roman"/>
          <w:sz w:val="20"/>
          <w:szCs w:val="20"/>
        </w:rPr>
        <w:instrText>ADDIN CSL_CITATION {"citationItems":[{"id":"ITEM-1","itemData":{"DOI":"10.1016/j.epsl.2013.10.052","ISSN":"0012821X","abstract":"Several models have been proposed for scaling in situ cosmogenic nuclide production rates from the relatively few sites where they have been measured to other sites of interest. Two main types of models are recognized: (1) those based on data from nuclear disintegrations in photographic emulsions combined with various neutron detectors, and (2) those based largely on neutron monitor data. However, stubborn discrepancies between these model types have led to frequent confusion when calculating surface exposure ages from production rates derived from the models. To help resolve these discrepancies and identify the sources of potential biases in each model, we have developed a new scaling model based on analytical approximations to modeled fluxes of the main atmospheric cosmic-ray particles responsible for in situ cosmogenic nuclide production. Both the analytical formulations and the Monte Carlo model fluxes on which they are based agree well with measured atmospheric fluxes of neutrons, protons, and muons, indicating they can serve as a robust estimate of the atmospheric cosmic-ray flux based on first principles. We are also using updated records for quantifying temporal and spatial variability in geomagnetic and solar modulation effects on the fluxes. A key advantage of this new model (herein termed LSD) over previous Monte Carlo models of cosmogenic nuclide production is that it allows for faster estimation of scaling factors based on time-varying geomagnetic and solar inputs. Comparing scaling predictions derived from the LSD model with those of previously published models suggest potential sources of bias in the latter can be largely attributed to two factors: different energy responses of the secondary neutron detectors used in developing the models, and different geomagnetic parameterizations.Given that the LSD model generates flux spectra for each cosmic-ray particle of interest, it is also relatively straightforward to generate nuclide-specific scaling factors based on recently updated neutron and proton excitation functions (probability of nuclide production in a given nuclear reaction as a function of energy) for commonly measured in situ cosmogenic nuclides. Such scaling factors reflect the influence of the energy distribution of the flux folded with the relevant excitation functions. Resulting scaling factors indicate 3He shows the strongest positive deviation from the flux-based scaling, while 14C exhibits a negative deviation. These results…","author":[{"dropping-particle":"","family":"Lifton","given":"Nathaniel","non-dropping-particle":"","parse-names":false,"suffix":""},{"dropping-particle":"","family":"Sato","given":"Tatsuhiko","non-dropping-particle":"","parse-names":false,"suffix":""},{"dropping-particle":"","family":"Dunai","given":"Tibor J.","non-dropping-particle":"","parse-names":false,"suffix":""}],"container-title":"Earth and Planetary Science Letters","id":"ITEM-1","issued":{"date-parts":[["2014","1","15"]]},"page":"149-160","publisher":"Elsevier","title":"Scaling in situ cosmogenic nuclide production rates using analytical approximations to atmospheric cosmic-ray fluxes","type":"article-journal","volume":"386"},"uris":["http://www.mendeley.com/documents/?uuid=ce8c07d3-6a82-3fec-8f29-977f18f93145"]}],"mendeley":{"formattedCitation":"(Lifton et al., 2014)","manualFormatting":"Lifton et al., (2014)","plainTextFormattedCitation":"(Lifton et al., 2014)","previouslyFormattedCitation":"(Lifton et al., 2014)"},"properties":{"noteIndex":0},"schema":"https://github.com/citation-style-language/schema/raw/master/csl-citation.json"}</w:instrText>
      </w:r>
      <w:r w:rsidR="00E54401">
        <w:rPr>
          <w:rFonts w:ascii="Times New Roman" w:eastAsia="Aptos" w:hAnsi="Times New Roman" w:cs="Times New Roman"/>
          <w:sz w:val="20"/>
          <w:szCs w:val="20"/>
        </w:rPr>
        <w:fldChar w:fldCharType="separate"/>
      </w:r>
      <w:r w:rsidR="00E54401" w:rsidRPr="00E54401">
        <w:rPr>
          <w:rFonts w:ascii="Times New Roman" w:eastAsia="Aptos" w:hAnsi="Times New Roman" w:cs="Times New Roman"/>
          <w:noProof/>
          <w:sz w:val="20"/>
          <w:szCs w:val="20"/>
        </w:rPr>
        <w:t xml:space="preserve">Lifton et al., </w:t>
      </w:r>
      <w:r w:rsidR="00E54401">
        <w:rPr>
          <w:rFonts w:ascii="Times New Roman" w:eastAsia="Aptos" w:hAnsi="Times New Roman" w:cs="Times New Roman"/>
          <w:noProof/>
          <w:sz w:val="20"/>
          <w:szCs w:val="20"/>
        </w:rPr>
        <w:t>(</w:t>
      </w:r>
      <w:r w:rsidR="00E54401" w:rsidRPr="00E54401">
        <w:rPr>
          <w:rFonts w:ascii="Times New Roman" w:eastAsia="Aptos" w:hAnsi="Times New Roman" w:cs="Times New Roman"/>
          <w:noProof/>
          <w:sz w:val="20"/>
          <w:szCs w:val="20"/>
        </w:rPr>
        <w:t>2014)</w:t>
      </w:r>
      <w:r w:rsidR="00E54401">
        <w:rPr>
          <w:rFonts w:ascii="Times New Roman" w:eastAsia="Aptos" w:hAnsi="Times New Roman" w:cs="Times New Roman"/>
          <w:sz w:val="20"/>
          <w:szCs w:val="20"/>
        </w:rPr>
        <w:fldChar w:fldCharType="end"/>
      </w:r>
      <w:r w:rsidRPr="00DC1DE1">
        <w:rPr>
          <w:rFonts w:ascii="Times New Roman" w:eastAsia="Aptos" w:hAnsi="Times New Roman" w:cs="Times New Roman"/>
          <w:sz w:val="20"/>
          <w:szCs w:val="20"/>
        </w:rPr>
        <w:t xml:space="preserve"> and code of Koester and Lifton (2023).</w:t>
      </w:r>
    </w:p>
    <w:tbl>
      <w:tblPr>
        <w:tblW w:w="9027" w:type="dxa"/>
        <w:tblInd w:w="108" w:type="dxa"/>
        <w:tblLook w:val="04A0" w:firstRow="1" w:lastRow="0" w:firstColumn="1" w:lastColumn="0" w:noHBand="0" w:noVBand="1"/>
      </w:tblPr>
      <w:tblGrid>
        <w:gridCol w:w="1361"/>
        <w:gridCol w:w="1360"/>
        <w:gridCol w:w="1113"/>
        <w:gridCol w:w="1550"/>
        <w:gridCol w:w="1136"/>
        <w:gridCol w:w="1028"/>
        <w:gridCol w:w="1538"/>
      </w:tblGrid>
      <w:tr w:rsidR="00DC1DE1" w:rsidRPr="00DC1DE1" w14:paraId="3D98086A" w14:textId="77777777" w:rsidTr="00AD3C69">
        <w:trPr>
          <w:trHeight w:val="267"/>
        </w:trPr>
        <w:tc>
          <w:tcPr>
            <w:tcW w:w="1361" w:type="dxa"/>
            <w:tcBorders>
              <w:top w:val="nil"/>
              <w:left w:val="nil"/>
              <w:bottom w:val="single" w:sz="8" w:space="0" w:color="auto"/>
              <w:right w:val="nil"/>
            </w:tcBorders>
            <w:shd w:val="clear" w:color="auto" w:fill="auto"/>
            <w:noWrap/>
            <w:vAlign w:val="bottom"/>
            <w:hideMark/>
          </w:tcPr>
          <w:p w14:paraId="1AC82870"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360" w:type="dxa"/>
            <w:tcBorders>
              <w:top w:val="nil"/>
              <w:left w:val="nil"/>
              <w:bottom w:val="single" w:sz="8" w:space="0" w:color="auto"/>
              <w:right w:val="nil"/>
            </w:tcBorders>
            <w:shd w:val="clear" w:color="auto" w:fill="auto"/>
            <w:noWrap/>
            <w:vAlign w:val="bottom"/>
            <w:hideMark/>
          </w:tcPr>
          <w:p w14:paraId="0BC41F5E"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113" w:type="dxa"/>
            <w:tcBorders>
              <w:top w:val="nil"/>
              <w:left w:val="nil"/>
              <w:bottom w:val="single" w:sz="8" w:space="0" w:color="auto"/>
              <w:right w:val="nil"/>
            </w:tcBorders>
            <w:shd w:val="clear" w:color="auto" w:fill="auto"/>
            <w:noWrap/>
            <w:vAlign w:val="bottom"/>
            <w:hideMark/>
          </w:tcPr>
          <w:p w14:paraId="7DF401FB"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550" w:type="dxa"/>
            <w:tcBorders>
              <w:top w:val="nil"/>
              <w:left w:val="nil"/>
              <w:bottom w:val="single" w:sz="8" w:space="0" w:color="auto"/>
              <w:right w:val="nil"/>
            </w:tcBorders>
            <w:shd w:val="clear" w:color="auto" w:fill="auto"/>
            <w:noWrap/>
            <w:vAlign w:val="bottom"/>
            <w:hideMark/>
          </w:tcPr>
          <w:p w14:paraId="14FCFA2A"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136" w:type="dxa"/>
            <w:tcBorders>
              <w:top w:val="nil"/>
              <w:left w:val="nil"/>
              <w:bottom w:val="single" w:sz="8" w:space="0" w:color="auto"/>
              <w:right w:val="nil"/>
            </w:tcBorders>
            <w:shd w:val="clear" w:color="auto" w:fill="auto"/>
            <w:noWrap/>
            <w:vAlign w:val="bottom"/>
            <w:hideMark/>
          </w:tcPr>
          <w:p w14:paraId="4815DA06"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969" w:type="dxa"/>
            <w:tcBorders>
              <w:top w:val="nil"/>
              <w:left w:val="nil"/>
              <w:bottom w:val="single" w:sz="8" w:space="0" w:color="auto"/>
              <w:right w:val="nil"/>
            </w:tcBorders>
            <w:shd w:val="clear" w:color="auto" w:fill="auto"/>
            <w:noWrap/>
            <w:vAlign w:val="bottom"/>
            <w:hideMark/>
          </w:tcPr>
          <w:p w14:paraId="0959FDF0"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538" w:type="dxa"/>
            <w:tcBorders>
              <w:top w:val="nil"/>
              <w:left w:val="nil"/>
              <w:bottom w:val="single" w:sz="8" w:space="0" w:color="auto"/>
              <w:right w:val="nil"/>
            </w:tcBorders>
            <w:shd w:val="clear" w:color="auto" w:fill="auto"/>
            <w:noWrap/>
            <w:vAlign w:val="bottom"/>
            <w:hideMark/>
          </w:tcPr>
          <w:p w14:paraId="5C6F86ED" w14:textId="77777777" w:rsidR="00DC1DE1" w:rsidRPr="00BD3321" w:rsidRDefault="00DC1DE1" w:rsidP="00067527">
            <w:pPr>
              <w:spacing w:after="0" w:line="240"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r>
      <w:tr w:rsidR="00DC1DE1" w:rsidRPr="00DC1DE1" w14:paraId="321E95DD" w14:textId="77777777" w:rsidTr="00AD3C69">
        <w:trPr>
          <w:trHeight w:val="744"/>
        </w:trPr>
        <w:tc>
          <w:tcPr>
            <w:tcW w:w="1361" w:type="dxa"/>
            <w:tcBorders>
              <w:top w:val="nil"/>
              <w:left w:val="nil"/>
              <w:bottom w:val="single" w:sz="8" w:space="0" w:color="auto"/>
              <w:right w:val="nil"/>
            </w:tcBorders>
            <w:shd w:val="clear" w:color="auto" w:fill="auto"/>
            <w:hideMark/>
          </w:tcPr>
          <w:p w14:paraId="0C87ADF1"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BD3321">
              <w:rPr>
                <w:rFonts w:ascii="Times New Roman" w:hAnsi="Times New Roman" w:cs="Times New Roman"/>
                <w:b/>
                <w:bCs/>
                <w:color w:val="000000"/>
                <w:sz w:val="20"/>
                <w:szCs w:val="20"/>
                <w:lang w:eastAsia="en-GB"/>
              </w:rPr>
              <w:t>Sample Name</w:t>
            </w:r>
          </w:p>
        </w:tc>
        <w:tc>
          <w:tcPr>
            <w:tcW w:w="1360" w:type="dxa"/>
            <w:tcBorders>
              <w:top w:val="nil"/>
              <w:left w:val="nil"/>
              <w:bottom w:val="single" w:sz="8" w:space="0" w:color="auto"/>
              <w:right w:val="nil"/>
            </w:tcBorders>
            <w:shd w:val="clear" w:color="auto" w:fill="auto"/>
            <w:hideMark/>
          </w:tcPr>
          <w:p w14:paraId="4C28AB73"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DC1DE1">
              <w:rPr>
                <w:rFonts w:ascii="Times New Roman" w:hAnsi="Times New Roman" w:cs="Times New Roman"/>
                <w:b/>
                <w:bCs/>
                <w:color w:val="000000"/>
                <w:sz w:val="20"/>
                <w:szCs w:val="20"/>
                <w:vertAlign w:val="superscript"/>
                <w:lang w:eastAsia="en-GB"/>
              </w:rPr>
              <w:t>14</w:t>
            </w:r>
            <w:r w:rsidRPr="00BD3321">
              <w:rPr>
                <w:rFonts w:ascii="Times New Roman" w:hAnsi="Times New Roman" w:cs="Times New Roman"/>
                <w:b/>
                <w:bCs/>
                <w:color w:val="000000"/>
                <w:sz w:val="20"/>
                <w:szCs w:val="20"/>
                <w:lang w:eastAsia="en-GB"/>
              </w:rPr>
              <w:t xml:space="preserve">C - </w:t>
            </w:r>
            <w:r w:rsidRPr="00DC1DE1">
              <w:rPr>
                <w:rFonts w:ascii="Times New Roman" w:hAnsi="Times New Roman" w:cs="Times New Roman"/>
                <w:b/>
                <w:bCs/>
                <w:color w:val="000000"/>
                <w:sz w:val="20"/>
                <w:szCs w:val="20"/>
                <w:vertAlign w:val="superscript"/>
                <w:lang w:eastAsia="en-GB"/>
              </w:rPr>
              <w:t>10</w:t>
            </w:r>
            <w:r w:rsidRPr="00BD3321">
              <w:rPr>
                <w:rFonts w:ascii="Times New Roman" w:hAnsi="Times New Roman" w:cs="Times New Roman"/>
                <w:b/>
                <w:bCs/>
                <w:color w:val="000000"/>
                <w:sz w:val="20"/>
                <w:szCs w:val="20"/>
                <w:lang w:eastAsia="en-GB"/>
              </w:rPr>
              <w:t>Be</w:t>
            </w:r>
          </w:p>
        </w:tc>
        <w:tc>
          <w:tcPr>
            <w:tcW w:w="1113" w:type="dxa"/>
            <w:tcBorders>
              <w:top w:val="nil"/>
              <w:left w:val="nil"/>
              <w:bottom w:val="single" w:sz="8" w:space="0" w:color="auto"/>
              <w:right w:val="nil"/>
            </w:tcBorders>
            <w:shd w:val="clear" w:color="auto" w:fill="auto"/>
            <w:hideMark/>
          </w:tcPr>
          <w:p w14:paraId="4F463DC2" w14:textId="5867BECB"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DC1DE1">
              <w:rPr>
                <w:rFonts w:ascii="Times New Roman" w:hAnsi="Times New Roman" w:cs="Times New Roman"/>
                <w:b/>
                <w:bCs/>
                <w:color w:val="000000"/>
                <w:sz w:val="20"/>
                <w:szCs w:val="20"/>
                <w:vertAlign w:val="superscript"/>
                <w:lang w:eastAsia="en-GB"/>
              </w:rPr>
              <w:t>14</w:t>
            </w:r>
            <w:r w:rsidRPr="00BD3321">
              <w:rPr>
                <w:rFonts w:ascii="Times New Roman" w:hAnsi="Times New Roman" w:cs="Times New Roman"/>
                <w:b/>
                <w:bCs/>
                <w:color w:val="000000"/>
                <w:sz w:val="20"/>
                <w:szCs w:val="20"/>
                <w:lang w:eastAsia="en-GB"/>
              </w:rPr>
              <w:t>C Rep.</w:t>
            </w:r>
            <w:r w:rsidRPr="00BD3321">
              <w:rPr>
                <w:rFonts w:ascii="Times New Roman" w:hAnsi="Times New Roman" w:cs="Times New Roman"/>
                <w:b/>
                <w:bCs/>
                <w:color w:val="000000"/>
                <w:sz w:val="20"/>
                <w:szCs w:val="20"/>
                <w:lang w:eastAsia="en-GB"/>
              </w:rPr>
              <w:br/>
              <w:t>(2σ)</w:t>
            </w:r>
          </w:p>
        </w:tc>
        <w:tc>
          <w:tcPr>
            <w:tcW w:w="1550" w:type="dxa"/>
            <w:tcBorders>
              <w:top w:val="nil"/>
              <w:left w:val="nil"/>
              <w:bottom w:val="single" w:sz="8" w:space="0" w:color="auto"/>
              <w:right w:val="nil"/>
            </w:tcBorders>
            <w:shd w:val="clear" w:color="auto" w:fill="auto"/>
            <w:hideMark/>
          </w:tcPr>
          <w:p w14:paraId="54BC134B"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BD3321">
              <w:rPr>
                <w:rFonts w:ascii="Times New Roman" w:hAnsi="Times New Roman" w:cs="Times New Roman"/>
                <w:b/>
                <w:bCs/>
                <w:color w:val="000000"/>
                <w:sz w:val="20"/>
                <w:szCs w:val="20"/>
                <w:lang w:eastAsia="en-GB"/>
              </w:rPr>
              <w:t xml:space="preserve">Latitude </w:t>
            </w:r>
            <w:r w:rsidRPr="00BD3321">
              <w:rPr>
                <w:rFonts w:ascii="Times New Roman" w:hAnsi="Times New Roman" w:cs="Times New Roman"/>
                <w:b/>
                <w:bCs/>
                <w:color w:val="000000"/>
                <w:sz w:val="20"/>
                <w:szCs w:val="20"/>
                <w:lang w:eastAsia="en-GB"/>
              </w:rPr>
              <w:br/>
              <w:t>(DD)</w:t>
            </w:r>
          </w:p>
        </w:tc>
        <w:tc>
          <w:tcPr>
            <w:tcW w:w="1136" w:type="dxa"/>
            <w:tcBorders>
              <w:top w:val="nil"/>
              <w:left w:val="nil"/>
              <w:bottom w:val="single" w:sz="8" w:space="0" w:color="auto"/>
              <w:right w:val="nil"/>
            </w:tcBorders>
            <w:shd w:val="clear" w:color="auto" w:fill="auto"/>
            <w:hideMark/>
          </w:tcPr>
          <w:p w14:paraId="4E3CF997"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BD3321">
              <w:rPr>
                <w:rFonts w:ascii="Times New Roman" w:hAnsi="Times New Roman" w:cs="Times New Roman"/>
                <w:b/>
                <w:bCs/>
                <w:color w:val="000000"/>
                <w:sz w:val="20"/>
                <w:szCs w:val="20"/>
                <w:lang w:eastAsia="en-GB"/>
              </w:rPr>
              <w:t xml:space="preserve">Longitude </w:t>
            </w:r>
            <w:r w:rsidRPr="00BD3321">
              <w:rPr>
                <w:rFonts w:ascii="Times New Roman" w:hAnsi="Times New Roman" w:cs="Times New Roman"/>
                <w:b/>
                <w:bCs/>
                <w:color w:val="000000"/>
                <w:sz w:val="20"/>
                <w:szCs w:val="20"/>
                <w:lang w:eastAsia="en-GB"/>
              </w:rPr>
              <w:br/>
              <w:t>(DD)</w:t>
            </w:r>
          </w:p>
        </w:tc>
        <w:tc>
          <w:tcPr>
            <w:tcW w:w="969" w:type="dxa"/>
            <w:tcBorders>
              <w:top w:val="nil"/>
              <w:left w:val="nil"/>
              <w:bottom w:val="single" w:sz="8" w:space="0" w:color="auto"/>
              <w:right w:val="nil"/>
            </w:tcBorders>
            <w:shd w:val="clear" w:color="auto" w:fill="auto"/>
            <w:hideMark/>
          </w:tcPr>
          <w:p w14:paraId="143FEB6D"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BD3321">
              <w:rPr>
                <w:rFonts w:ascii="Times New Roman" w:hAnsi="Times New Roman" w:cs="Times New Roman"/>
                <w:b/>
                <w:bCs/>
                <w:color w:val="000000"/>
                <w:sz w:val="20"/>
                <w:szCs w:val="20"/>
                <w:lang w:eastAsia="en-GB"/>
              </w:rPr>
              <w:t xml:space="preserve">Elevation </w:t>
            </w:r>
            <w:r w:rsidRPr="00BD3321">
              <w:rPr>
                <w:rFonts w:ascii="Times New Roman" w:hAnsi="Times New Roman" w:cs="Times New Roman"/>
                <w:b/>
                <w:bCs/>
                <w:color w:val="000000"/>
                <w:sz w:val="20"/>
                <w:szCs w:val="20"/>
                <w:lang w:eastAsia="en-GB"/>
              </w:rPr>
              <w:br/>
              <w:t>(m a. s. l)</w:t>
            </w:r>
          </w:p>
        </w:tc>
        <w:tc>
          <w:tcPr>
            <w:tcW w:w="1538" w:type="dxa"/>
            <w:tcBorders>
              <w:top w:val="nil"/>
              <w:left w:val="nil"/>
              <w:bottom w:val="single" w:sz="8" w:space="0" w:color="auto"/>
              <w:right w:val="nil"/>
            </w:tcBorders>
            <w:shd w:val="clear" w:color="auto" w:fill="auto"/>
            <w:hideMark/>
          </w:tcPr>
          <w:p w14:paraId="733778B4" w14:textId="77777777" w:rsidR="00DC1DE1" w:rsidRPr="00BD3321" w:rsidRDefault="00DC1DE1" w:rsidP="00067527">
            <w:pPr>
              <w:spacing w:after="0" w:line="276" w:lineRule="auto"/>
              <w:jc w:val="center"/>
              <w:rPr>
                <w:rFonts w:ascii="Times New Roman" w:hAnsi="Times New Roman" w:cs="Times New Roman"/>
                <w:b/>
                <w:bCs/>
                <w:color w:val="000000"/>
                <w:sz w:val="20"/>
                <w:szCs w:val="20"/>
                <w:lang w:eastAsia="en-GB"/>
              </w:rPr>
            </w:pPr>
            <w:r w:rsidRPr="00BD3321">
              <w:rPr>
                <w:rFonts w:ascii="Times New Roman" w:hAnsi="Times New Roman" w:cs="Times New Roman"/>
                <w:b/>
                <w:bCs/>
                <w:color w:val="000000"/>
                <w:sz w:val="20"/>
                <w:szCs w:val="20"/>
                <w:lang w:eastAsia="en-GB"/>
              </w:rPr>
              <w:t>14C PCD Diff.</w:t>
            </w:r>
            <w:r w:rsidRPr="00BD3321">
              <w:rPr>
                <w:rFonts w:ascii="Times New Roman" w:hAnsi="Times New Roman" w:cs="Times New Roman"/>
                <w:b/>
                <w:bCs/>
                <w:color w:val="000000"/>
                <w:sz w:val="20"/>
                <w:szCs w:val="20"/>
                <w:lang w:eastAsia="en-GB"/>
              </w:rPr>
              <w:br/>
              <w:t>(%)</w:t>
            </w:r>
          </w:p>
        </w:tc>
      </w:tr>
      <w:tr w:rsidR="00DC1DE1" w:rsidRPr="00DC1DE1" w14:paraId="30A3BF7F" w14:textId="77777777" w:rsidTr="00AD3C69">
        <w:trPr>
          <w:trHeight w:val="254"/>
        </w:trPr>
        <w:tc>
          <w:tcPr>
            <w:tcW w:w="1361" w:type="dxa"/>
            <w:tcBorders>
              <w:top w:val="nil"/>
              <w:left w:val="nil"/>
              <w:bottom w:val="nil"/>
              <w:right w:val="nil"/>
            </w:tcBorders>
            <w:shd w:val="clear" w:color="000000" w:fill="FFFFFF"/>
            <w:noWrap/>
            <w:vAlign w:val="bottom"/>
            <w:hideMark/>
          </w:tcPr>
          <w:p w14:paraId="5A681E85"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CIN-102</w:t>
            </w:r>
          </w:p>
        </w:tc>
        <w:tc>
          <w:tcPr>
            <w:tcW w:w="1360" w:type="dxa"/>
            <w:tcBorders>
              <w:top w:val="nil"/>
              <w:left w:val="nil"/>
              <w:bottom w:val="nil"/>
              <w:right w:val="nil"/>
            </w:tcBorders>
            <w:shd w:val="clear" w:color="000000" w:fill="FFFFFF"/>
            <w:noWrap/>
            <w:vAlign w:val="bottom"/>
            <w:hideMark/>
          </w:tcPr>
          <w:p w14:paraId="6767A8FC"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concordant</w:t>
            </w:r>
          </w:p>
        </w:tc>
        <w:tc>
          <w:tcPr>
            <w:tcW w:w="1113" w:type="dxa"/>
            <w:tcBorders>
              <w:top w:val="nil"/>
              <w:left w:val="nil"/>
              <w:bottom w:val="nil"/>
              <w:right w:val="nil"/>
            </w:tcBorders>
            <w:shd w:val="clear" w:color="000000" w:fill="FFFFFF"/>
            <w:noWrap/>
            <w:vAlign w:val="bottom"/>
            <w:hideMark/>
          </w:tcPr>
          <w:p w14:paraId="0ECAAF21"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w:t>
            </w:r>
          </w:p>
        </w:tc>
        <w:tc>
          <w:tcPr>
            <w:tcW w:w="1550" w:type="dxa"/>
            <w:tcBorders>
              <w:top w:val="nil"/>
              <w:left w:val="nil"/>
              <w:bottom w:val="nil"/>
              <w:right w:val="nil"/>
            </w:tcBorders>
            <w:shd w:val="clear" w:color="000000" w:fill="FFFFFF"/>
            <w:noWrap/>
            <w:vAlign w:val="bottom"/>
            <w:hideMark/>
          </w:tcPr>
          <w:p w14:paraId="10AD47D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-75.21943</w:t>
            </w:r>
          </w:p>
        </w:tc>
        <w:tc>
          <w:tcPr>
            <w:tcW w:w="1136" w:type="dxa"/>
            <w:tcBorders>
              <w:top w:val="nil"/>
              <w:left w:val="nil"/>
              <w:bottom w:val="nil"/>
              <w:right w:val="nil"/>
            </w:tcBorders>
            <w:shd w:val="clear" w:color="000000" w:fill="FFFFFF"/>
            <w:noWrap/>
            <w:vAlign w:val="bottom"/>
            <w:hideMark/>
          </w:tcPr>
          <w:p w14:paraId="62A9446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-111.02316</w:t>
            </w:r>
          </w:p>
        </w:tc>
        <w:tc>
          <w:tcPr>
            <w:tcW w:w="969" w:type="dxa"/>
            <w:tcBorders>
              <w:top w:val="nil"/>
              <w:left w:val="nil"/>
              <w:bottom w:val="nil"/>
              <w:right w:val="nil"/>
            </w:tcBorders>
            <w:shd w:val="clear" w:color="000000" w:fill="FFFFFF"/>
            <w:noWrap/>
            <w:vAlign w:val="bottom"/>
            <w:hideMark/>
          </w:tcPr>
          <w:p w14:paraId="12B188E5"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239</w:t>
            </w:r>
          </w:p>
        </w:tc>
        <w:tc>
          <w:tcPr>
            <w:tcW w:w="1538" w:type="dxa"/>
            <w:tcBorders>
              <w:top w:val="nil"/>
              <w:left w:val="nil"/>
              <w:bottom w:val="nil"/>
              <w:right w:val="nil"/>
            </w:tcBorders>
            <w:shd w:val="clear" w:color="000000" w:fill="FFFFFF"/>
            <w:noWrap/>
            <w:vAlign w:val="bottom"/>
            <w:hideMark/>
          </w:tcPr>
          <w:p w14:paraId="3FDD877E"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100.014</w:t>
            </w:r>
          </w:p>
        </w:tc>
      </w:tr>
      <w:tr w:rsidR="00DC1DE1" w:rsidRPr="00DC1DE1" w14:paraId="39BADE5F" w14:textId="77777777" w:rsidTr="00AD3C69">
        <w:trPr>
          <w:trHeight w:val="254"/>
        </w:trPr>
        <w:tc>
          <w:tcPr>
            <w:tcW w:w="1361" w:type="dxa"/>
            <w:tcBorders>
              <w:top w:val="nil"/>
              <w:left w:val="nil"/>
              <w:bottom w:val="nil"/>
              <w:right w:val="nil"/>
            </w:tcBorders>
            <w:shd w:val="clear" w:color="000000" w:fill="FFFFFF"/>
            <w:noWrap/>
            <w:vAlign w:val="bottom"/>
            <w:hideMark/>
          </w:tcPr>
          <w:p w14:paraId="14F632FF"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CIN-108</w:t>
            </w:r>
          </w:p>
        </w:tc>
        <w:tc>
          <w:tcPr>
            <w:tcW w:w="1360" w:type="dxa"/>
            <w:tcBorders>
              <w:top w:val="nil"/>
              <w:left w:val="nil"/>
              <w:bottom w:val="nil"/>
              <w:right w:val="nil"/>
            </w:tcBorders>
            <w:shd w:val="clear" w:color="000000" w:fill="FFFFFF"/>
            <w:noWrap/>
            <w:vAlign w:val="bottom"/>
            <w:hideMark/>
          </w:tcPr>
          <w:p w14:paraId="440F1B88"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concordant</w:t>
            </w:r>
          </w:p>
        </w:tc>
        <w:tc>
          <w:tcPr>
            <w:tcW w:w="1113" w:type="dxa"/>
            <w:tcBorders>
              <w:top w:val="nil"/>
              <w:left w:val="nil"/>
              <w:bottom w:val="nil"/>
              <w:right w:val="nil"/>
            </w:tcBorders>
            <w:shd w:val="clear" w:color="000000" w:fill="FFFFFF"/>
            <w:noWrap/>
            <w:vAlign w:val="bottom"/>
            <w:hideMark/>
          </w:tcPr>
          <w:p w14:paraId="12A00168"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Yes</w:t>
            </w:r>
          </w:p>
        </w:tc>
        <w:tc>
          <w:tcPr>
            <w:tcW w:w="1550" w:type="dxa"/>
            <w:tcBorders>
              <w:top w:val="nil"/>
              <w:left w:val="nil"/>
              <w:bottom w:val="nil"/>
              <w:right w:val="nil"/>
            </w:tcBorders>
            <w:shd w:val="clear" w:color="000000" w:fill="FFFFFF"/>
            <w:noWrap/>
            <w:vAlign w:val="bottom"/>
            <w:hideMark/>
          </w:tcPr>
          <w:p w14:paraId="1F62B3D2"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-75.21652</w:t>
            </w:r>
          </w:p>
        </w:tc>
        <w:tc>
          <w:tcPr>
            <w:tcW w:w="1136" w:type="dxa"/>
            <w:tcBorders>
              <w:top w:val="nil"/>
              <w:left w:val="nil"/>
              <w:bottom w:val="nil"/>
              <w:right w:val="nil"/>
            </w:tcBorders>
            <w:shd w:val="clear" w:color="000000" w:fill="FFFFFF"/>
            <w:noWrap/>
            <w:vAlign w:val="bottom"/>
            <w:hideMark/>
          </w:tcPr>
          <w:p w14:paraId="28994C3E"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-111.01973</w:t>
            </w:r>
          </w:p>
        </w:tc>
        <w:tc>
          <w:tcPr>
            <w:tcW w:w="969" w:type="dxa"/>
            <w:tcBorders>
              <w:top w:val="nil"/>
              <w:left w:val="nil"/>
              <w:bottom w:val="nil"/>
              <w:right w:val="nil"/>
            </w:tcBorders>
            <w:shd w:val="clear" w:color="000000" w:fill="FFFFFF"/>
            <w:noWrap/>
            <w:vAlign w:val="bottom"/>
            <w:hideMark/>
          </w:tcPr>
          <w:p w14:paraId="1C0EAEE8"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181</w:t>
            </w:r>
          </w:p>
        </w:tc>
        <w:tc>
          <w:tcPr>
            <w:tcW w:w="1538" w:type="dxa"/>
            <w:tcBorders>
              <w:top w:val="nil"/>
              <w:left w:val="nil"/>
              <w:bottom w:val="nil"/>
              <w:right w:val="nil"/>
            </w:tcBorders>
            <w:shd w:val="clear" w:color="000000" w:fill="FFFFFF"/>
            <w:noWrap/>
            <w:vAlign w:val="bottom"/>
            <w:hideMark/>
          </w:tcPr>
          <w:p w14:paraId="7A58BF96"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100.002</w:t>
            </w:r>
          </w:p>
        </w:tc>
      </w:tr>
      <w:tr w:rsidR="00DC1DE1" w:rsidRPr="00DC1DE1" w14:paraId="520DBF63" w14:textId="77777777" w:rsidTr="00AD3C69">
        <w:trPr>
          <w:trHeight w:val="254"/>
        </w:trPr>
        <w:tc>
          <w:tcPr>
            <w:tcW w:w="1361" w:type="dxa"/>
            <w:tcBorders>
              <w:top w:val="nil"/>
              <w:left w:val="nil"/>
              <w:bottom w:val="nil"/>
              <w:right w:val="nil"/>
            </w:tcBorders>
            <w:shd w:val="clear" w:color="000000" w:fill="FFFFFF"/>
            <w:noWrap/>
            <w:vAlign w:val="bottom"/>
            <w:hideMark/>
          </w:tcPr>
          <w:p w14:paraId="50F1A62C"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CIN-112</w:t>
            </w:r>
          </w:p>
        </w:tc>
        <w:tc>
          <w:tcPr>
            <w:tcW w:w="1360" w:type="dxa"/>
            <w:tcBorders>
              <w:top w:val="nil"/>
              <w:left w:val="nil"/>
              <w:bottom w:val="nil"/>
              <w:right w:val="nil"/>
            </w:tcBorders>
            <w:shd w:val="clear" w:color="000000" w:fill="FFFFFF"/>
            <w:noWrap/>
            <w:vAlign w:val="bottom"/>
            <w:hideMark/>
          </w:tcPr>
          <w:p w14:paraId="6180C0A5"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236B71E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No</w:t>
            </w:r>
          </w:p>
        </w:tc>
        <w:tc>
          <w:tcPr>
            <w:tcW w:w="1550" w:type="dxa"/>
            <w:tcBorders>
              <w:top w:val="nil"/>
              <w:left w:val="nil"/>
              <w:bottom w:val="nil"/>
              <w:right w:val="nil"/>
            </w:tcBorders>
            <w:shd w:val="clear" w:color="000000" w:fill="FFFFFF"/>
            <w:noWrap/>
            <w:vAlign w:val="bottom"/>
            <w:hideMark/>
          </w:tcPr>
          <w:p w14:paraId="6BFD7D56"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-75.21628</w:t>
            </w:r>
          </w:p>
        </w:tc>
        <w:tc>
          <w:tcPr>
            <w:tcW w:w="1136" w:type="dxa"/>
            <w:tcBorders>
              <w:top w:val="nil"/>
              <w:left w:val="nil"/>
              <w:bottom w:val="nil"/>
              <w:right w:val="nil"/>
            </w:tcBorders>
            <w:shd w:val="clear" w:color="000000" w:fill="FFFFFF"/>
            <w:noWrap/>
            <w:vAlign w:val="bottom"/>
            <w:hideMark/>
          </w:tcPr>
          <w:p w14:paraId="76BE44F3"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-111.01796</w:t>
            </w:r>
          </w:p>
        </w:tc>
        <w:tc>
          <w:tcPr>
            <w:tcW w:w="969" w:type="dxa"/>
            <w:tcBorders>
              <w:top w:val="nil"/>
              <w:left w:val="nil"/>
              <w:bottom w:val="nil"/>
              <w:right w:val="nil"/>
            </w:tcBorders>
            <w:shd w:val="clear" w:color="000000" w:fill="FFFFFF"/>
            <w:noWrap/>
            <w:vAlign w:val="bottom"/>
            <w:hideMark/>
          </w:tcPr>
          <w:p w14:paraId="7C68101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179</w:t>
            </w:r>
          </w:p>
        </w:tc>
        <w:tc>
          <w:tcPr>
            <w:tcW w:w="1538" w:type="dxa"/>
            <w:tcBorders>
              <w:top w:val="nil"/>
              <w:left w:val="nil"/>
              <w:bottom w:val="nil"/>
              <w:right w:val="nil"/>
            </w:tcBorders>
            <w:shd w:val="clear" w:color="000000" w:fill="FFFFFF"/>
            <w:noWrap/>
            <w:vAlign w:val="bottom"/>
            <w:hideMark/>
          </w:tcPr>
          <w:p w14:paraId="3F3E3F43"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100.002</w:t>
            </w:r>
          </w:p>
        </w:tc>
      </w:tr>
      <w:tr w:rsidR="00DC1DE1" w:rsidRPr="00DC1DE1" w14:paraId="5C6AC049" w14:textId="77777777" w:rsidTr="00AD3C69">
        <w:trPr>
          <w:trHeight w:val="254"/>
        </w:trPr>
        <w:tc>
          <w:tcPr>
            <w:tcW w:w="1361" w:type="dxa"/>
            <w:tcBorders>
              <w:top w:val="nil"/>
              <w:left w:val="nil"/>
              <w:bottom w:val="nil"/>
              <w:right w:val="nil"/>
            </w:tcBorders>
            <w:shd w:val="clear" w:color="000000" w:fill="FFFFFF"/>
            <w:noWrap/>
            <w:vAlign w:val="bottom"/>
            <w:hideMark/>
          </w:tcPr>
          <w:p w14:paraId="74740ED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NOT-103</w:t>
            </w:r>
          </w:p>
        </w:tc>
        <w:tc>
          <w:tcPr>
            <w:tcW w:w="1360" w:type="dxa"/>
            <w:tcBorders>
              <w:top w:val="nil"/>
              <w:left w:val="nil"/>
              <w:bottom w:val="nil"/>
              <w:right w:val="nil"/>
            </w:tcBorders>
            <w:shd w:val="clear" w:color="000000" w:fill="FFFFFF"/>
            <w:noWrap/>
            <w:vAlign w:val="bottom"/>
            <w:hideMark/>
          </w:tcPr>
          <w:p w14:paraId="2369E15D"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2FF77A7D"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w:t>
            </w:r>
          </w:p>
        </w:tc>
        <w:tc>
          <w:tcPr>
            <w:tcW w:w="1550" w:type="dxa"/>
            <w:tcBorders>
              <w:top w:val="nil"/>
              <w:left w:val="nil"/>
              <w:bottom w:val="nil"/>
              <w:right w:val="nil"/>
            </w:tcBorders>
            <w:shd w:val="clear" w:color="000000" w:fill="FFFFFF"/>
            <w:noWrap/>
            <w:vAlign w:val="bottom"/>
            <w:hideMark/>
          </w:tcPr>
          <w:p w14:paraId="4422CEBF"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-75.39144</w:t>
            </w:r>
          </w:p>
        </w:tc>
        <w:tc>
          <w:tcPr>
            <w:tcW w:w="1136" w:type="dxa"/>
            <w:tcBorders>
              <w:top w:val="nil"/>
              <w:left w:val="nil"/>
              <w:bottom w:val="nil"/>
              <w:right w:val="nil"/>
            </w:tcBorders>
            <w:shd w:val="clear" w:color="000000" w:fill="FFFFFF"/>
            <w:noWrap/>
            <w:vAlign w:val="bottom"/>
            <w:hideMark/>
          </w:tcPr>
          <w:p w14:paraId="06625E3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-111.13985</w:t>
            </w:r>
          </w:p>
        </w:tc>
        <w:tc>
          <w:tcPr>
            <w:tcW w:w="969" w:type="dxa"/>
            <w:tcBorders>
              <w:top w:val="nil"/>
              <w:left w:val="nil"/>
              <w:bottom w:val="nil"/>
              <w:right w:val="nil"/>
            </w:tcBorders>
            <w:shd w:val="clear" w:color="000000" w:fill="FFFFFF"/>
            <w:noWrap/>
            <w:vAlign w:val="bottom"/>
            <w:hideMark/>
          </w:tcPr>
          <w:p w14:paraId="06C51BE1"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852</w:t>
            </w:r>
          </w:p>
        </w:tc>
        <w:tc>
          <w:tcPr>
            <w:tcW w:w="1538" w:type="dxa"/>
            <w:tcBorders>
              <w:top w:val="nil"/>
              <w:left w:val="nil"/>
              <w:bottom w:val="nil"/>
              <w:right w:val="nil"/>
            </w:tcBorders>
            <w:shd w:val="clear" w:color="000000" w:fill="FFFFFF"/>
            <w:noWrap/>
            <w:vAlign w:val="bottom"/>
            <w:hideMark/>
          </w:tcPr>
          <w:p w14:paraId="52CB4D8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100.003</w:t>
            </w:r>
          </w:p>
        </w:tc>
      </w:tr>
      <w:tr w:rsidR="00DC1DE1" w:rsidRPr="00DC1DE1" w14:paraId="52113C01" w14:textId="77777777" w:rsidTr="00AD3C69">
        <w:trPr>
          <w:trHeight w:val="254"/>
        </w:trPr>
        <w:tc>
          <w:tcPr>
            <w:tcW w:w="1361" w:type="dxa"/>
            <w:tcBorders>
              <w:top w:val="nil"/>
              <w:left w:val="nil"/>
              <w:bottom w:val="nil"/>
              <w:right w:val="nil"/>
            </w:tcBorders>
            <w:shd w:val="clear" w:color="000000" w:fill="FFFFFF"/>
            <w:noWrap/>
            <w:vAlign w:val="bottom"/>
            <w:hideMark/>
          </w:tcPr>
          <w:p w14:paraId="065F94DA"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NOT-104</w:t>
            </w:r>
          </w:p>
        </w:tc>
        <w:tc>
          <w:tcPr>
            <w:tcW w:w="1360" w:type="dxa"/>
            <w:tcBorders>
              <w:top w:val="nil"/>
              <w:left w:val="nil"/>
              <w:bottom w:val="nil"/>
              <w:right w:val="nil"/>
            </w:tcBorders>
            <w:shd w:val="clear" w:color="000000" w:fill="FFFFFF"/>
            <w:noWrap/>
            <w:vAlign w:val="bottom"/>
            <w:hideMark/>
          </w:tcPr>
          <w:p w14:paraId="1BDE2AFE"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352403CD"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w:t>
            </w:r>
          </w:p>
        </w:tc>
        <w:tc>
          <w:tcPr>
            <w:tcW w:w="1550" w:type="dxa"/>
            <w:tcBorders>
              <w:top w:val="nil"/>
              <w:left w:val="nil"/>
              <w:bottom w:val="nil"/>
              <w:right w:val="nil"/>
            </w:tcBorders>
            <w:shd w:val="clear" w:color="000000" w:fill="FFFFFF"/>
            <w:noWrap/>
            <w:vAlign w:val="bottom"/>
            <w:hideMark/>
          </w:tcPr>
          <w:p w14:paraId="41B2ABC9"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-75.38863</w:t>
            </w:r>
          </w:p>
        </w:tc>
        <w:tc>
          <w:tcPr>
            <w:tcW w:w="1136" w:type="dxa"/>
            <w:tcBorders>
              <w:top w:val="nil"/>
              <w:left w:val="nil"/>
              <w:bottom w:val="nil"/>
              <w:right w:val="nil"/>
            </w:tcBorders>
            <w:shd w:val="clear" w:color="000000" w:fill="FFFFFF"/>
            <w:noWrap/>
            <w:vAlign w:val="bottom"/>
            <w:hideMark/>
          </w:tcPr>
          <w:p w14:paraId="7E750F7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-111.11753</w:t>
            </w:r>
          </w:p>
        </w:tc>
        <w:tc>
          <w:tcPr>
            <w:tcW w:w="969" w:type="dxa"/>
            <w:tcBorders>
              <w:top w:val="nil"/>
              <w:left w:val="nil"/>
              <w:bottom w:val="nil"/>
              <w:right w:val="nil"/>
            </w:tcBorders>
            <w:shd w:val="clear" w:color="000000" w:fill="FFFFFF"/>
            <w:noWrap/>
            <w:vAlign w:val="bottom"/>
            <w:hideMark/>
          </w:tcPr>
          <w:p w14:paraId="6BDF3313"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893</w:t>
            </w:r>
          </w:p>
        </w:tc>
        <w:tc>
          <w:tcPr>
            <w:tcW w:w="1538" w:type="dxa"/>
            <w:tcBorders>
              <w:top w:val="nil"/>
              <w:left w:val="nil"/>
              <w:bottom w:val="nil"/>
              <w:right w:val="nil"/>
            </w:tcBorders>
            <w:shd w:val="clear" w:color="000000" w:fill="FFFFFF"/>
            <w:noWrap/>
            <w:vAlign w:val="bottom"/>
            <w:hideMark/>
          </w:tcPr>
          <w:p w14:paraId="6CB76100"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100.003</w:t>
            </w:r>
          </w:p>
        </w:tc>
      </w:tr>
      <w:tr w:rsidR="00DC1DE1" w:rsidRPr="00DC1DE1" w14:paraId="7FA7F818" w14:textId="77777777" w:rsidTr="00AD3C69">
        <w:trPr>
          <w:trHeight w:val="254"/>
        </w:trPr>
        <w:tc>
          <w:tcPr>
            <w:tcW w:w="1361" w:type="dxa"/>
            <w:tcBorders>
              <w:top w:val="nil"/>
              <w:left w:val="nil"/>
              <w:bottom w:val="nil"/>
              <w:right w:val="nil"/>
            </w:tcBorders>
            <w:shd w:val="clear" w:color="000000" w:fill="FFFFFF"/>
            <w:noWrap/>
            <w:vAlign w:val="bottom"/>
            <w:hideMark/>
          </w:tcPr>
          <w:p w14:paraId="7A37C7B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NOT-107</w:t>
            </w:r>
          </w:p>
        </w:tc>
        <w:tc>
          <w:tcPr>
            <w:tcW w:w="1360" w:type="dxa"/>
            <w:tcBorders>
              <w:top w:val="nil"/>
              <w:left w:val="nil"/>
              <w:bottom w:val="nil"/>
              <w:right w:val="nil"/>
            </w:tcBorders>
            <w:shd w:val="clear" w:color="000000" w:fill="FFFFFF"/>
            <w:noWrap/>
            <w:vAlign w:val="bottom"/>
            <w:hideMark/>
          </w:tcPr>
          <w:p w14:paraId="48F54052"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03B1746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w:t>
            </w:r>
          </w:p>
        </w:tc>
        <w:tc>
          <w:tcPr>
            <w:tcW w:w="1550" w:type="dxa"/>
            <w:tcBorders>
              <w:top w:val="nil"/>
              <w:left w:val="nil"/>
              <w:bottom w:val="nil"/>
              <w:right w:val="nil"/>
            </w:tcBorders>
            <w:shd w:val="clear" w:color="000000" w:fill="FFFFFF"/>
            <w:noWrap/>
            <w:vAlign w:val="bottom"/>
            <w:hideMark/>
          </w:tcPr>
          <w:p w14:paraId="49CBCC31"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-75.38818</w:t>
            </w:r>
          </w:p>
        </w:tc>
        <w:tc>
          <w:tcPr>
            <w:tcW w:w="1136" w:type="dxa"/>
            <w:tcBorders>
              <w:top w:val="nil"/>
              <w:left w:val="nil"/>
              <w:bottom w:val="nil"/>
              <w:right w:val="nil"/>
            </w:tcBorders>
            <w:shd w:val="clear" w:color="000000" w:fill="FFFFFF"/>
            <w:noWrap/>
            <w:vAlign w:val="bottom"/>
            <w:hideMark/>
          </w:tcPr>
          <w:p w14:paraId="2A654AC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-111.09055</w:t>
            </w:r>
          </w:p>
        </w:tc>
        <w:tc>
          <w:tcPr>
            <w:tcW w:w="969" w:type="dxa"/>
            <w:tcBorders>
              <w:top w:val="nil"/>
              <w:left w:val="nil"/>
              <w:bottom w:val="nil"/>
              <w:right w:val="nil"/>
            </w:tcBorders>
            <w:shd w:val="clear" w:color="000000" w:fill="FFFFFF"/>
            <w:noWrap/>
            <w:vAlign w:val="bottom"/>
            <w:hideMark/>
          </w:tcPr>
          <w:p w14:paraId="0AF3232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885</w:t>
            </w:r>
          </w:p>
        </w:tc>
        <w:tc>
          <w:tcPr>
            <w:tcW w:w="1538" w:type="dxa"/>
            <w:tcBorders>
              <w:top w:val="nil"/>
              <w:left w:val="nil"/>
              <w:bottom w:val="nil"/>
              <w:right w:val="nil"/>
            </w:tcBorders>
            <w:shd w:val="clear" w:color="000000" w:fill="FFFFFF"/>
            <w:noWrap/>
            <w:vAlign w:val="bottom"/>
            <w:hideMark/>
          </w:tcPr>
          <w:p w14:paraId="2C98DECC"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100.003</w:t>
            </w:r>
          </w:p>
        </w:tc>
      </w:tr>
      <w:tr w:rsidR="00DC1DE1" w:rsidRPr="00DC1DE1" w14:paraId="32CDF9EF" w14:textId="77777777" w:rsidTr="00AD3C69">
        <w:trPr>
          <w:trHeight w:val="254"/>
        </w:trPr>
        <w:tc>
          <w:tcPr>
            <w:tcW w:w="1361" w:type="dxa"/>
            <w:tcBorders>
              <w:top w:val="nil"/>
              <w:left w:val="nil"/>
              <w:bottom w:val="nil"/>
              <w:right w:val="nil"/>
            </w:tcBorders>
            <w:shd w:val="clear" w:color="000000" w:fill="FFFFFF"/>
            <w:noWrap/>
            <w:vAlign w:val="bottom"/>
            <w:hideMark/>
          </w:tcPr>
          <w:p w14:paraId="69E5B590"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TUR-117</w:t>
            </w:r>
          </w:p>
        </w:tc>
        <w:tc>
          <w:tcPr>
            <w:tcW w:w="1360" w:type="dxa"/>
            <w:tcBorders>
              <w:top w:val="nil"/>
              <w:left w:val="nil"/>
              <w:bottom w:val="nil"/>
              <w:right w:val="nil"/>
            </w:tcBorders>
            <w:shd w:val="clear" w:color="000000" w:fill="FFFFFF"/>
            <w:noWrap/>
            <w:vAlign w:val="bottom"/>
            <w:hideMark/>
          </w:tcPr>
          <w:p w14:paraId="2C73577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5FEF3743"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No</w:t>
            </w:r>
          </w:p>
        </w:tc>
        <w:tc>
          <w:tcPr>
            <w:tcW w:w="1550" w:type="dxa"/>
            <w:tcBorders>
              <w:top w:val="nil"/>
              <w:left w:val="nil"/>
              <w:bottom w:val="nil"/>
              <w:right w:val="nil"/>
            </w:tcBorders>
            <w:shd w:val="clear" w:color="000000" w:fill="FFFFFF"/>
            <w:noWrap/>
            <w:vAlign w:val="bottom"/>
            <w:hideMark/>
          </w:tcPr>
          <w:p w14:paraId="7727E6A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-75.38110</w:t>
            </w:r>
          </w:p>
        </w:tc>
        <w:tc>
          <w:tcPr>
            <w:tcW w:w="1136" w:type="dxa"/>
            <w:tcBorders>
              <w:top w:val="nil"/>
              <w:left w:val="nil"/>
              <w:bottom w:val="nil"/>
              <w:right w:val="nil"/>
            </w:tcBorders>
            <w:shd w:val="clear" w:color="000000" w:fill="FFFFFF"/>
            <w:noWrap/>
            <w:vAlign w:val="bottom"/>
            <w:hideMark/>
          </w:tcPr>
          <w:p w14:paraId="50C92C73"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-111.30660</w:t>
            </w:r>
          </w:p>
        </w:tc>
        <w:tc>
          <w:tcPr>
            <w:tcW w:w="969" w:type="dxa"/>
            <w:tcBorders>
              <w:top w:val="nil"/>
              <w:left w:val="nil"/>
              <w:bottom w:val="nil"/>
              <w:right w:val="nil"/>
            </w:tcBorders>
            <w:shd w:val="clear" w:color="000000" w:fill="FFFFFF"/>
            <w:noWrap/>
            <w:vAlign w:val="bottom"/>
            <w:hideMark/>
          </w:tcPr>
          <w:p w14:paraId="50BB1B35"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451</w:t>
            </w:r>
          </w:p>
        </w:tc>
        <w:tc>
          <w:tcPr>
            <w:tcW w:w="1538" w:type="dxa"/>
            <w:tcBorders>
              <w:top w:val="nil"/>
              <w:left w:val="nil"/>
              <w:bottom w:val="nil"/>
              <w:right w:val="nil"/>
            </w:tcBorders>
            <w:shd w:val="clear" w:color="000000" w:fill="FFFFFF"/>
            <w:noWrap/>
            <w:vAlign w:val="bottom"/>
            <w:hideMark/>
          </w:tcPr>
          <w:p w14:paraId="350F9B8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100.002</w:t>
            </w:r>
          </w:p>
        </w:tc>
      </w:tr>
      <w:tr w:rsidR="00DC1DE1" w:rsidRPr="00DC1DE1" w14:paraId="19D4AE2B" w14:textId="77777777" w:rsidTr="00AD3C69">
        <w:trPr>
          <w:trHeight w:val="254"/>
        </w:trPr>
        <w:tc>
          <w:tcPr>
            <w:tcW w:w="1361" w:type="dxa"/>
            <w:tcBorders>
              <w:top w:val="nil"/>
              <w:left w:val="nil"/>
              <w:bottom w:val="nil"/>
              <w:right w:val="nil"/>
            </w:tcBorders>
            <w:shd w:val="clear" w:color="000000" w:fill="FFFFFF"/>
            <w:noWrap/>
            <w:vAlign w:val="bottom"/>
            <w:hideMark/>
          </w:tcPr>
          <w:p w14:paraId="22FA1DA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TUR-123</w:t>
            </w:r>
          </w:p>
        </w:tc>
        <w:tc>
          <w:tcPr>
            <w:tcW w:w="1360" w:type="dxa"/>
            <w:tcBorders>
              <w:top w:val="nil"/>
              <w:left w:val="nil"/>
              <w:bottom w:val="nil"/>
              <w:right w:val="nil"/>
            </w:tcBorders>
            <w:shd w:val="clear" w:color="000000" w:fill="FFFFFF"/>
            <w:noWrap/>
            <w:vAlign w:val="bottom"/>
            <w:hideMark/>
          </w:tcPr>
          <w:p w14:paraId="704FF1E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xml:space="preserve">discordant </w:t>
            </w:r>
          </w:p>
        </w:tc>
        <w:tc>
          <w:tcPr>
            <w:tcW w:w="1113" w:type="dxa"/>
            <w:tcBorders>
              <w:top w:val="nil"/>
              <w:left w:val="nil"/>
              <w:bottom w:val="nil"/>
              <w:right w:val="nil"/>
            </w:tcBorders>
            <w:shd w:val="clear" w:color="000000" w:fill="FFFFFF"/>
            <w:noWrap/>
            <w:vAlign w:val="bottom"/>
            <w:hideMark/>
          </w:tcPr>
          <w:p w14:paraId="4600C04D"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w:t>
            </w:r>
          </w:p>
        </w:tc>
        <w:tc>
          <w:tcPr>
            <w:tcW w:w="1550" w:type="dxa"/>
            <w:tcBorders>
              <w:top w:val="nil"/>
              <w:left w:val="nil"/>
              <w:bottom w:val="nil"/>
              <w:right w:val="nil"/>
            </w:tcBorders>
            <w:shd w:val="clear" w:color="000000" w:fill="FFFFFF"/>
            <w:noWrap/>
            <w:vAlign w:val="bottom"/>
            <w:hideMark/>
          </w:tcPr>
          <w:p w14:paraId="25DE3499"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-75.37061</w:t>
            </w:r>
          </w:p>
        </w:tc>
        <w:tc>
          <w:tcPr>
            <w:tcW w:w="1136" w:type="dxa"/>
            <w:tcBorders>
              <w:top w:val="nil"/>
              <w:left w:val="nil"/>
              <w:bottom w:val="nil"/>
              <w:right w:val="nil"/>
            </w:tcBorders>
            <w:shd w:val="clear" w:color="000000" w:fill="FFFFFF"/>
            <w:noWrap/>
            <w:vAlign w:val="bottom"/>
            <w:hideMark/>
          </w:tcPr>
          <w:p w14:paraId="5894974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-111.29230</w:t>
            </w:r>
          </w:p>
        </w:tc>
        <w:tc>
          <w:tcPr>
            <w:tcW w:w="969" w:type="dxa"/>
            <w:tcBorders>
              <w:top w:val="nil"/>
              <w:left w:val="nil"/>
              <w:bottom w:val="nil"/>
              <w:right w:val="nil"/>
            </w:tcBorders>
            <w:shd w:val="clear" w:color="000000" w:fill="FFFFFF"/>
            <w:noWrap/>
            <w:vAlign w:val="bottom"/>
            <w:hideMark/>
          </w:tcPr>
          <w:p w14:paraId="577BE2B2"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639</w:t>
            </w:r>
          </w:p>
        </w:tc>
        <w:tc>
          <w:tcPr>
            <w:tcW w:w="1538" w:type="dxa"/>
            <w:tcBorders>
              <w:top w:val="nil"/>
              <w:left w:val="nil"/>
              <w:bottom w:val="nil"/>
              <w:right w:val="nil"/>
            </w:tcBorders>
            <w:shd w:val="clear" w:color="000000" w:fill="FFFFFF"/>
            <w:noWrap/>
            <w:vAlign w:val="bottom"/>
            <w:hideMark/>
          </w:tcPr>
          <w:p w14:paraId="46B49C15"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100.003</w:t>
            </w:r>
          </w:p>
        </w:tc>
      </w:tr>
      <w:tr w:rsidR="00DC1DE1" w:rsidRPr="00DC1DE1" w14:paraId="2F402B9E" w14:textId="77777777" w:rsidTr="00AD3C69">
        <w:trPr>
          <w:trHeight w:val="267"/>
        </w:trPr>
        <w:tc>
          <w:tcPr>
            <w:tcW w:w="1361" w:type="dxa"/>
            <w:tcBorders>
              <w:top w:val="nil"/>
              <w:left w:val="nil"/>
              <w:bottom w:val="single" w:sz="8" w:space="0" w:color="auto"/>
              <w:right w:val="nil"/>
            </w:tcBorders>
            <w:shd w:val="clear" w:color="000000" w:fill="FFFFFF"/>
            <w:noWrap/>
            <w:vAlign w:val="bottom"/>
            <w:hideMark/>
          </w:tcPr>
          <w:p w14:paraId="0F2A679D"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TUR-132</w:t>
            </w:r>
          </w:p>
        </w:tc>
        <w:tc>
          <w:tcPr>
            <w:tcW w:w="1360" w:type="dxa"/>
            <w:tcBorders>
              <w:top w:val="nil"/>
              <w:left w:val="nil"/>
              <w:bottom w:val="single" w:sz="8" w:space="0" w:color="auto"/>
              <w:right w:val="nil"/>
            </w:tcBorders>
            <w:shd w:val="clear" w:color="000000" w:fill="FFFFFF"/>
            <w:noWrap/>
            <w:vAlign w:val="bottom"/>
            <w:hideMark/>
          </w:tcPr>
          <w:p w14:paraId="68D5AA2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concordant</w:t>
            </w:r>
          </w:p>
        </w:tc>
        <w:tc>
          <w:tcPr>
            <w:tcW w:w="1113" w:type="dxa"/>
            <w:tcBorders>
              <w:top w:val="nil"/>
              <w:left w:val="nil"/>
              <w:bottom w:val="single" w:sz="8" w:space="0" w:color="auto"/>
              <w:right w:val="nil"/>
            </w:tcBorders>
            <w:shd w:val="clear" w:color="000000" w:fill="FFFFFF"/>
            <w:noWrap/>
            <w:vAlign w:val="bottom"/>
            <w:hideMark/>
          </w:tcPr>
          <w:p w14:paraId="67ED9C3E"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Yes</w:t>
            </w:r>
          </w:p>
        </w:tc>
        <w:tc>
          <w:tcPr>
            <w:tcW w:w="1550" w:type="dxa"/>
            <w:tcBorders>
              <w:top w:val="nil"/>
              <w:left w:val="nil"/>
              <w:bottom w:val="single" w:sz="8" w:space="0" w:color="auto"/>
              <w:right w:val="nil"/>
            </w:tcBorders>
            <w:shd w:val="clear" w:color="000000" w:fill="FFFFFF"/>
            <w:noWrap/>
            <w:vAlign w:val="bottom"/>
            <w:hideMark/>
          </w:tcPr>
          <w:p w14:paraId="218FDCF4"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-75.38303</w:t>
            </w:r>
          </w:p>
        </w:tc>
        <w:tc>
          <w:tcPr>
            <w:tcW w:w="1136" w:type="dxa"/>
            <w:tcBorders>
              <w:top w:val="nil"/>
              <w:left w:val="nil"/>
              <w:bottom w:val="single" w:sz="8" w:space="0" w:color="auto"/>
              <w:right w:val="nil"/>
            </w:tcBorders>
            <w:shd w:val="clear" w:color="000000" w:fill="FFFFFF"/>
            <w:noWrap/>
            <w:vAlign w:val="bottom"/>
            <w:hideMark/>
          </w:tcPr>
          <w:p w14:paraId="271C3BBB"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-111.30911</w:t>
            </w:r>
          </w:p>
        </w:tc>
        <w:tc>
          <w:tcPr>
            <w:tcW w:w="969" w:type="dxa"/>
            <w:tcBorders>
              <w:top w:val="nil"/>
              <w:left w:val="nil"/>
              <w:bottom w:val="single" w:sz="8" w:space="0" w:color="auto"/>
              <w:right w:val="nil"/>
            </w:tcBorders>
            <w:shd w:val="clear" w:color="000000" w:fill="FFFFFF"/>
            <w:noWrap/>
            <w:vAlign w:val="bottom"/>
            <w:hideMark/>
          </w:tcPr>
          <w:p w14:paraId="012C4C87"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446</w:t>
            </w:r>
          </w:p>
        </w:tc>
        <w:tc>
          <w:tcPr>
            <w:tcW w:w="1538" w:type="dxa"/>
            <w:tcBorders>
              <w:top w:val="nil"/>
              <w:left w:val="nil"/>
              <w:bottom w:val="single" w:sz="8" w:space="0" w:color="auto"/>
              <w:right w:val="nil"/>
            </w:tcBorders>
            <w:shd w:val="clear" w:color="000000" w:fill="FFFFFF"/>
            <w:noWrap/>
            <w:vAlign w:val="bottom"/>
            <w:hideMark/>
          </w:tcPr>
          <w:p w14:paraId="1B80977C" w14:textId="77777777" w:rsidR="00DC1DE1" w:rsidRPr="00BD3321" w:rsidRDefault="00DC1DE1" w:rsidP="00067527">
            <w:pPr>
              <w:spacing w:after="0" w:line="276" w:lineRule="auto"/>
              <w:jc w:val="center"/>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100.003</w:t>
            </w:r>
          </w:p>
        </w:tc>
      </w:tr>
      <w:tr w:rsidR="00DC1DE1" w:rsidRPr="00DC1DE1" w14:paraId="14C86DF5" w14:textId="77777777" w:rsidTr="00AD3C69">
        <w:trPr>
          <w:trHeight w:val="47"/>
        </w:trPr>
        <w:tc>
          <w:tcPr>
            <w:tcW w:w="1361" w:type="dxa"/>
            <w:tcBorders>
              <w:top w:val="nil"/>
              <w:left w:val="nil"/>
              <w:bottom w:val="nil"/>
              <w:right w:val="nil"/>
            </w:tcBorders>
            <w:shd w:val="clear" w:color="000000" w:fill="FFFFFF"/>
            <w:noWrap/>
            <w:vAlign w:val="bottom"/>
            <w:hideMark/>
          </w:tcPr>
          <w:p w14:paraId="4BD61AE3" w14:textId="415CA8BC" w:rsidR="00DC1DE1" w:rsidRPr="00BD3321" w:rsidRDefault="00DC1DE1" w:rsidP="00067527">
            <w:pPr>
              <w:spacing w:after="0" w:line="276" w:lineRule="auto"/>
              <w:rPr>
                <w:rFonts w:ascii="Times New Roman" w:hAnsi="Times New Roman" w:cs="Times New Roman"/>
                <w:color w:val="000000"/>
                <w:sz w:val="20"/>
                <w:szCs w:val="20"/>
                <w:lang w:eastAsia="en-GB"/>
              </w:rPr>
            </w:pPr>
          </w:p>
        </w:tc>
        <w:tc>
          <w:tcPr>
            <w:tcW w:w="1360" w:type="dxa"/>
            <w:tcBorders>
              <w:top w:val="nil"/>
              <w:left w:val="nil"/>
              <w:bottom w:val="nil"/>
              <w:right w:val="nil"/>
            </w:tcBorders>
            <w:shd w:val="clear" w:color="000000" w:fill="FFFFFF"/>
            <w:noWrap/>
            <w:vAlign w:val="bottom"/>
            <w:hideMark/>
          </w:tcPr>
          <w:p w14:paraId="6FD2476C"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113" w:type="dxa"/>
            <w:tcBorders>
              <w:top w:val="nil"/>
              <w:left w:val="nil"/>
              <w:bottom w:val="nil"/>
              <w:right w:val="nil"/>
            </w:tcBorders>
            <w:shd w:val="clear" w:color="000000" w:fill="FFFFFF"/>
            <w:noWrap/>
            <w:vAlign w:val="bottom"/>
            <w:hideMark/>
          </w:tcPr>
          <w:p w14:paraId="710AF15E"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550" w:type="dxa"/>
            <w:tcBorders>
              <w:top w:val="nil"/>
              <w:left w:val="nil"/>
              <w:bottom w:val="nil"/>
              <w:right w:val="nil"/>
            </w:tcBorders>
            <w:shd w:val="clear" w:color="000000" w:fill="FFFFFF"/>
            <w:noWrap/>
            <w:vAlign w:val="bottom"/>
            <w:hideMark/>
          </w:tcPr>
          <w:p w14:paraId="4BDA9C28"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136" w:type="dxa"/>
            <w:tcBorders>
              <w:top w:val="nil"/>
              <w:left w:val="nil"/>
              <w:bottom w:val="nil"/>
              <w:right w:val="nil"/>
            </w:tcBorders>
            <w:shd w:val="clear" w:color="000000" w:fill="FFFFFF"/>
            <w:noWrap/>
            <w:vAlign w:val="bottom"/>
            <w:hideMark/>
          </w:tcPr>
          <w:p w14:paraId="1CA591DC"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969" w:type="dxa"/>
            <w:tcBorders>
              <w:top w:val="nil"/>
              <w:left w:val="nil"/>
              <w:bottom w:val="nil"/>
              <w:right w:val="nil"/>
            </w:tcBorders>
            <w:shd w:val="clear" w:color="000000" w:fill="FFFFFF"/>
            <w:noWrap/>
            <w:vAlign w:val="bottom"/>
            <w:hideMark/>
          </w:tcPr>
          <w:p w14:paraId="16D96AE8"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c>
          <w:tcPr>
            <w:tcW w:w="1538" w:type="dxa"/>
            <w:tcBorders>
              <w:top w:val="nil"/>
              <w:left w:val="nil"/>
              <w:bottom w:val="nil"/>
              <w:right w:val="nil"/>
            </w:tcBorders>
            <w:shd w:val="clear" w:color="000000" w:fill="FFFFFF"/>
            <w:noWrap/>
            <w:vAlign w:val="bottom"/>
            <w:hideMark/>
          </w:tcPr>
          <w:p w14:paraId="2DE712C9" w14:textId="77777777" w:rsidR="00DC1DE1" w:rsidRPr="00BD3321" w:rsidRDefault="00DC1DE1" w:rsidP="00067527">
            <w:pPr>
              <w:spacing w:after="0" w:line="276" w:lineRule="auto"/>
              <w:rPr>
                <w:rFonts w:ascii="Times New Roman" w:hAnsi="Times New Roman" w:cs="Times New Roman"/>
                <w:color w:val="000000"/>
                <w:sz w:val="20"/>
                <w:szCs w:val="20"/>
                <w:lang w:eastAsia="en-GB"/>
              </w:rPr>
            </w:pPr>
            <w:r w:rsidRPr="00BD3321">
              <w:rPr>
                <w:rFonts w:ascii="Times New Roman" w:hAnsi="Times New Roman" w:cs="Times New Roman"/>
                <w:color w:val="000000"/>
                <w:sz w:val="20"/>
                <w:szCs w:val="20"/>
                <w:lang w:eastAsia="en-GB"/>
              </w:rPr>
              <w:t> </w:t>
            </w:r>
          </w:p>
        </w:tc>
      </w:tr>
    </w:tbl>
    <w:p w14:paraId="596D6121" w14:textId="7BB39C06" w:rsidR="003738A5" w:rsidRDefault="00DC1DE1" w:rsidP="003738A5">
      <w:pPr>
        <w:spacing w:line="360" w:lineRule="auto"/>
        <w:rPr>
          <w:rFonts w:ascii="Times New Roman" w:eastAsia="Aptos" w:hAnsi="Times New Roman" w:cs="Times New Roman"/>
          <w:sz w:val="20"/>
          <w:szCs w:val="20"/>
        </w:rPr>
      </w:pPr>
      <w:r w:rsidRPr="00DC1DE1">
        <w:rPr>
          <w:rFonts w:ascii="Times New Roman" w:eastAsia="Aptos" w:hAnsi="Times New Roman" w:cs="Times New Roman"/>
          <w:sz w:val="20"/>
          <w:szCs w:val="20"/>
        </w:rPr>
        <w:t xml:space="preserve">The maximum difference in the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production rate calculated assuming pure SiO</w:t>
      </w:r>
      <w:r w:rsidRPr="00DC1DE1">
        <w:rPr>
          <w:rFonts w:ascii="Times New Roman" w:eastAsia="Aptos" w:hAnsi="Times New Roman" w:cs="Times New Roman"/>
          <w:sz w:val="20"/>
          <w:szCs w:val="20"/>
          <w:vertAlign w:val="subscript"/>
        </w:rPr>
        <w:t>2</w:t>
      </w:r>
      <w:r w:rsidRPr="00DC1DE1">
        <w:rPr>
          <w:rFonts w:ascii="Times New Roman" w:eastAsia="Aptos" w:hAnsi="Times New Roman" w:cs="Times New Roman"/>
          <w:sz w:val="20"/>
          <w:szCs w:val="20"/>
        </w:rPr>
        <w:t xml:space="preserve"> and the elemental composition of Mt Murphy samples measured by ICP-OES (Table </w:t>
      </w:r>
      <w:r w:rsidR="001118CA">
        <w:rPr>
          <w:rFonts w:ascii="Times New Roman" w:eastAsia="Aptos" w:hAnsi="Times New Roman" w:cs="Times New Roman"/>
          <w:sz w:val="20"/>
          <w:szCs w:val="20"/>
        </w:rPr>
        <w:t>S</w:t>
      </w:r>
      <w:r w:rsidR="00C76F74">
        <w:rPr>
          <w:rFonts w:ascii="Times New Roman" w:eastAsia="Aptos" w:hAnsi="Times New Roman" w:cs="Times New Roman"/>
          <w:sz w:val="20"/>
          <w:szCs w:val="20"/>
        </w:rPr>
        <w:t>4</w:t>
      </w:r>
      <w:r w:rsidRPr="00DC1DE1">
        <w:rPr>
          <w:rFonts w:ascii="Times New Roman" w:eastAsia="Aptos" w:hAnsi="Times New Roman" w:cs="Times New Roman"/>
          <w:sz w:val="20"/>
          <w:szCs w:val="20"/>
        </w:rPr>
        <w:t xml:space="preserve">) is 0.014% for sample CIN-102 (this sample also contains the highest total % weight elemental impurities at 0.03 % or 300 ppm). For all other samples the difference in modelled production rates is &lt; 0.001 % (Table </w:t>
      </w:r>
      <w:r w:rsidR="001118CA">
        <w:rPr>
          <w:rFonts w:ascii="Times New Roman" w:eastAsia="Aptos" w:hAnsi="Times New Roman" w:cs="Times New Roman"/>
          <w:sz w:val="20"/>
          <w:szCs w:val="20"/>
        </w:rPr>
        <w:t>S</w:t>
      </w:r>
      <w:r w:rsidR="00C76F74">
        <w:rPr>
          <w:rFonts w:ascii="Times New Roman" w:eastAsia="Aptos" w:hAnsi="Times New Roman" w:cs="Times New Roman"/>
          <w:sz w:val="20"/>
          <w:szCs w:val="20"/>
        </w:rPr>
        <w:t>5</w:t>
      </w:r>
      <w:r w:rsidRPr="00DC1DE1">
        <w:rPr>
          <w:rFonts w:ascii="Times New Roman" w:eastAsia="Aptos" w:hAnsi="Times New Roman" w:cs="Times New Roman"/>
          <w:sz w:val="20"/>
          <w:szCs w:val="20"/>
        </w:rPr>
        <w:t xml:space="preserve">). Marginal differences in modelled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production rates of 0.002</w:t>
      </w:r>
      <w:r w:rsidRPr="00DC1DE1">
        <w:rPr>
          <w:rFonts w:ascii="Times New Roman" w:eastAsia="Aptos" w:hAnsi="Times New Roman" w:cs="Times New Roman"/>
          <w:b/>
          <w:bCs/>
          <w:sz w:val="20"/>
          <w:szCs w:val="20"/>
          <w:shd w:val="clear" w:color="auto" w:fill="FFFFFF"/>
        </w:rPr>
        <w:t>–</w:t>
      </w:r>
      <w:r w:rsidRPr="00DC1DE1">
        <w:rPr>
          <w:rFonts w:ascii="Times New Roman" w:eastAsia="Aptos" w:hAnsi="Times New Roman" w:cs="Times New Roman"/>
          <w:sz w:val="20"/>
          <w:szCs w:val="20"/>
          <w:shd w:val="clear" w:color="auto" w:fill="FFFFFF"/>
        </w:rPr>
        <w:t xml:space="preserve">0.014 % therefore do not account for in situ </w:t>
      </w:r>
      <w:r w:rsidRPr="00DC1DE1">
        <w:rPr>
          <w:rFonts w:ascii="Times New Roman" w:eastAsia="Aptos" w:hAnsi="Times New Roman" w:cs="Times New Roman"/>
          <w:sz w:val="20"/>
          <w:szCs w:val="20"/>
          <w:shd w:val="clear" w:color="auto" w:fill="FFFFFF"/>
          <w:vertAlign w:val="superscript"/>
        </w:rPr>
        <w:t>14</w:t>
      </w:r>
      <w:r w:rsidRPr="00DC1DE1">
        <w:rPr>
          <w:rFonts w:ascii="Times New Roman" w:eastAsia="Aptos" w:hAnsi="Times New Roman" w:cs="Times New Roman"/>
          <w:sz w:val="20"/>
          <w:szCs w:val="20"/>
          <w:shd w:val="clear" w:color="auto" w:fill="FFFFFF"/>
        </w:rPr>
        <w:t xml:space="preserve">C concentrations of Mt Murphy replicate measurements, which are not reproducible using 6 % 1σ uncertainties. This preliminary analysis is limited by the small number of replicate samples (n = 4). In addition, only production pathways by in situ </w:t>
      </w:r>
      <w:r w:rsidRPr="00DC1DE1">
        <w:rPr>
          <w:rFonts w:ascii="Times New Roman" w:eastAsia="Aptos" w:hAnsi="Times New Roman" w:cs="Times New Roman"/>
          <w:sz w:val="20"/>
          <w:szCs w:val="20"/>
          <w:shd w:val="clear" w:color="auto" w:fill="FFFFFF"/>
          <w:vertAlign w:val="superscript"/>
        </w:rPr>
        <w:t>14</w:t>
      </w:r>
      <w:r w:rsidRPr="00DC1DE1">
        <w:rPr>
          <w:rFonts w:ascii="Times New Roman" w:eastAsia="Aptos" w:hAnsi="Times New Roman" w:cs="Times New Roman"/>
          <w:sz w:val="20"/>
          <w:szCs w:val="20"/>
          <w:shd w:val="clear" w:color="auto" w:fill="FFFFFF"/>
        </w:rPr>
        <w:t xml:space="preserve">C by spallation are modelled, while </w:t>
      </w:r>
      <w:proofErr w:type="spellStart"/>
      <w:r w:rsidRPr="00DC1DE1">
        <w:rPr>
          <w:rFonts w:ascii="Times New Roman" w:eastAsia="Aptos" w:hAnsi="Times New Roman" w:cs="Times New Roman"/>
          <w:sz w:val="20"/>
          <w:szCs w:val="20"/>
          <w:shd w:val="clear" w:color="auto" w:fill="FFFFFF"/>
        </w:rPr>
        <w:t>muogenic</w:t>
      </w:r>
      <w:proofErr w:type="spellEnd"/>
      <w:r w:rsidRPr="00DC1DE1">
        <w:rPr>
          <w:rFonts w:ascii="Times New Roman" w:eastAsia="Aptos" w:hAnsi="Times New Roman" w:cs="Times New Roman"/>
          <w:sz w:val="20"/>
          <w:szCs w:val="20"/>
          <w:shd w:val="clear" w:color="auto" w:fill="FFFFFF"/>
        </w:rPr>
        <w:t xml:space="preserve"> in situ </w:t>
      </w:r>
      <w:r w:rsidRPr="00DC1DE1">
        <w:rPr>
          <w:rFonts w:ascii="Times New Roman" w:eastAsia="Aptos" w:hAnsi="Times New Roman" w:cs="Times New Roman"/>
          <w:sz w:val="20"/>
          <w:szCs w:val="20"/>
          <w:shd w:val="clear" w:color="auto" w:fill="FFFFFF"/>
          <w:vertAlign w:val="superscript"/>
        </w:rPr>
        <w:t>14</w:t>
      </w:r>
      <w:r w:rsidRPr="00DC1DE1">
        <w:rPr>
          <w:rFonts w:ascii="Times New Roman" w:eastAsia="Aptos" w:hAnsi="Times New Roman" w:cs="Times New Roman"/>
          <w:sz w:val="20"/>
          <w:szCs w:val="20"/>
          <w:shd w:val="clear" w:color="auto" w:fill="FFFFFF"/>
        </w:rPr>
        <w:t xml:space="preserve">C production at SLHL constitutes ~20% of total production. Nevertheless, our analysis indicates very low elemental impurities detected in Mt Murphy mineral separates results in extremely small changes to the in situ </w:t>
      </w:r>
      <w:r w:rsidRPr="00DC1DE1">
        <w:rPr>
          <w:rFonts w:ascii="Times New Roman" w:eastAsia="Aptos" w:hAnsi="Times New Roman" w:cs="Times New Roman"/>
          <w:sz w:val="20"/>
          <w:szCs w:val="20"/>
          <w:shd w:val="clear" w:color="auto" w:fill="FFFFFF"/>
          <w:vertAlign w:val="superscript"/>
        </w:rPr>
        <w:t>14</w:t>
      </w:r>
      <w:r w:rsidRPr="00DC1DE1">
        <w:rPr>
          <w:rFonts w:ascii="Times New Roman" w:eastAsia="Aptos" w:hAnsi="Times New Roman" w:cs="Times New Roman"/>
          <w:sz w:val="20"/>
          <w:szCs w:val="20"/>
          <w:shd w:val="clear" w:color="auto" w:fill="FFFFFF"/>
        </w:rPr>
        <w:t xml:space="preserve">C production rate and so does not account for observed scatter of up to 100 % between replicate in situ </w:t>
      </w:r>
      <w:r w:rsidRPr="00DC1DE1">
        <w:rPr>
          <w:rFonts w:ascii="Times New Roman" w:eastAsia="Aptos" w:hAnsi="Times New Roman" w:cs="Times New Roman"/>
          <w:sz w:val="20"/>
          <w:szCs w:val="20"/>
          <w:shd w:val="clear" w:color="auto" w:fill="FFFFFF"/>
          <w:vertAlign w:val="superscript"/>
        </w:rPr>
        <w:t>14</w:t>
      </w:r>
      <w:r w:rsidRPr="00DC1DE1">
        <w:rPr>
          <w:rFonts w:ascii="Times New Roman" w:eastAsia="Aptos" w:hAnsi="Times New Roman" w:cs="Times New Roman"/>
          <w:sz w:val="20"/>
          <w:szCs w:val="20"/>
          <w:shd w:val="clear" w:color="auto" w:fill="FFFFFF"/>
        </w:rPr>
        <w:t xml:space="preserve">C concentrations from the Mt Murphy dataset. </w:t>
      </w:r>
      <w:bookmarkStart w:id="10" w:name="_Hlk179289011"/>
      <w:r w:rsidRPr="00DC1DE1">
        <w:rPr>
          <w:rFonts w:ascii="Times New Roman" w:eastAsia="Aptos" w:hAnsi="Times New Roman" w:cs="Times New Roman"/>
          <w:sz w:val="20"/>
          <w:szCs w:val="20"/>
        </w:rPr>
        <w:t xml:space="preserve">Our evaluation of Mt Murphy samples therefore finds no significant link between low abundances of elemental impurities in quartz mineral separates and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reproducibility</w:t>
      </w:r>
      <w:r w:rsidRPr="00DC1DE1">
        <w:rPr>
          <w:rFonts w:ascii="Times New Roman" w:eastAsia="Aptos" w:hAnsi="Times New Roman" w:cs="Times New Roman"/>
          <w:sz w:val="20"/>
          <w:szCs w:val="20"/>
          <w:shd w:val="clear" w:color="auto" w:fill="FFFFFF"/>
        </w:rPr>
        <w:t xml:space="preserve">. Nevertheless, a more in-depth study </w:t>
      </w:r>
      <w:proofErr w:type="gramStart"/>
      <w:r w:rsidRPr="00DC1DE1">
        <w:rPr>
          <w:rFonts w:ascii="Times New Roman" w:eastAsia="Aptos" w:hAnsi="Times New Roman" w:cs="Times New Roman"/>
          <w:sz w:val="20"/>
          <w:szCs w:val="20"/>
          <w:shd w:val="clear" w:color="auto" w:fill="FFFFFF"/>
        </w:rPr>
        <w:t>similar to</w:t>
      </w:r>
      <w:proofErr w:type="gramEnd"/>
      <w:r w:rsidRPr="00DC1DE1">
        <w:rPr>
          <w:rFonts w:ascii="Times New Roman" w:eastAsia="Aptos" w:hAnsi="Times New Roman" w:cs="Times New Roman"/>
          <w:sz w:val="20"/>
          <w:szCs w:val="20"/>
          <w:shd w:val="clear" w:color="auto" w:fill="FFFFFF"/>
        </w:rPr>
        <w:t xml:space="preserve"> Corbett et al., (2022) </w:t>
      </w:r>
      <w:r w:rsidRPr="00DC1DE1">
        <w:rPr>
          <w:rFonts w:ascii="Times New Roman" w:eastAsia="Aptos" w:hAnsi="Times New Roman" w:cs="Times New Roman"/>
          <w:sz w:val="20"/>
          <w:szCs w:val="20"/>
        </w:rPr>
        <w:t xml:space="preserve">which assessed impact of quartz impurity in CRONUS-N on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 xml:space="preserve">C reproducibility would help improve quantification of in situ </w:t>
      </w:r>
      <w:r w:rsidRPr="00DC1DE1">
        <w:rPr>
          <w:rFonts w:ascii="Times New Roman" w:eastAsia="Aptos" w:hAnsi="Times New Roman" w:cs="Times New Roman"/>
          <w:sz w:val="20"/>
          <w:szCs w:val="20"/>
          <w:vertAlign w:val="superscript"/>
        </w:rPr>
        <w:t>14</w:t>
      </w:r>
      <w:r w:rsidRPr="00DC1DE1">
        <w:rPr>
          <w:rFonts w:ascii="Times New Roman" w:eastAsia="Aptos" w:hAnsi="Times New Roman" w:cs="Times New Roman"/>
          <w:sz w:val="20"/>
          <w:szCs w:val="20"/>
        </w:rPr>
        <w:t>C reproducibility for low concentration samples.</w:t>
      </w:r>
      <w:r w:rsidRPr="002179EB">
        <w:rPr>
          <w:rFonts w:ascii="Times New Roman" w:eastAsia="Aptos" w:hAnsi="Times New Roman" w:cs="Times New Roman"/>
          <w:sz w:val="20"/>
          <w:szCs w:val="20"/>
        </w:rPr>
        <w:t xml:space="preserve"> </w:t>
      </w:r>
      <w:bookmarkEnd w:id="10"/>
    </w:p>
    <w:p w14:paraId="3CCEFBCD" w14:textId="77777777" w:rsidR="00067527" w:rsidRDefault="00067527" w:rsidP="003738A5">
      <w:pPr>
        <w:spacing w:line="360" w:lineRule="auto"/>
        <w:rPr>
          <w:rFonts w:ascii="Times New Roman" w:hAnsi="Times New Roman" w:cs="Times New Roman"/>
          <w:b/>
          <w:bCs/>
          <w:sz w:val="20"/>
          <w:szCs w:val="20"/>
        </w:rPr>
      </w:pPr>
    </w:p>
    <w:p w14:paraId="45AA7C4F" w14:textId="77777777" w:rsidR="00067527" w:rsidRDefault="00067527" w:rsidP="003738A5">
      <w:pPr>
        <w:spacing w:line="360" w:lineRule="auto"/>
        <w:rPr>
          <w:rFonts w:ascii="Times New Roman" w:hAnsi="Times New Roman" w:cs="Times New Roman"/>
          <w:b/>
          <w:bCs/>
          <w:sz w:val="20"/>
          <w:szCs w:val="20"/>
        </w:rPr>
      </w:pPr>
    </w:p>
    <w:p w14:paraId="64663563" w14:textId="77777777" w:rsidR="00067527" w:rsidRDefault="00067527" w:rsidP="003738A5">
      <w:pPr>
        <w:spacing w:line="360" w:lineRule="auto"/>
        <w:rPr>
          <w:rFonts w:ascii="Times New Roman" w:hAnsi="Times New Roman" w:cs="Times New Roman"/>
          <w:b/>
          <w:bCs/>
          <w:sz w:val="20"/>
          <w:szCs w:val="20"/>
        </w:rPr>
      </w:pPr>
    </w:p>
    <w:p w14:paraId="6CC33309" w14:textId="77777777" w:rsidR="00067527" w:rsidRDefault="00067527" w:rsidP="003738A5">
      <w:pPr>
        <w:spacing w:line="360" w:lineRule="auto"/>
        <w:rPr>
          <w:rFonts w:ascii="Times New Roman" w:hAnsi="Times New Roman" w:cs="Times New Roman"/>
          <w:b/>
          <w:bCs/>
          <w:sz w:val="20"/>
          <w:szCs w:val="20"/>
        </w:rPr>
      </w:pPr>
    </w:p>
    <w:p w14:paraId="0DDFC8D5" w14:textId="364008ED" w:rsidR="00067527" w:rsidRDefault="00067527">
      <w:pPr>
        <w:rPr>
          <w:rFonts w:ascii="Times New Roman" w:hAnsi="Times New Roman" w:cs="Times New Roman"/>
          <w:b/>
          <w:bCs/>
          <w:sz w:val="20"/>
          <w:szCs w:val="20"/>
        </w:rPr>
      </w:pPr>
      <w:r>
        <w:rPr>
          <w:rFonts w:ascii="Times New Roman" w:hAnsi="Times New Roman" w:cs="Times New Roman"/>
          <w:b/>
          <w:bCs/>
          <w:sz w:val="20"/>
          <w:szCs w:val="20"/>
        </w:rPr>
        <w:br w:type="page"/>
      </w:r>
    </w:p>
    <w:p w14:paraId="149CF88C" w14:textId="2A785D83" w:rsidR="002179EB" w:rsidRPr="00067527" w:rsidRDefault="002179EB" w:rsidP="003738A5">
      <w:pPr>
        <w:spacing w:line="360" w:lineRule="auto"/>
        <w:rPr>
          <w:rFonts w:eastAsia="Aptos"/>
        </w:rPr>
      </w:pPr>
      <w:r w:rsidRPr="00067527">
        <w:rPr>
          <w:rFonts w:ascii="Times New Roman" w:hAnsi="Times New Roman" w:cs="Times New Roman"/>
          <w:b/>
          <w:bCs/>
        </w:rPr>
        <w:lastRenderedPageBreak/>
        <w:t xml:space="preserve">Supplement </w:t>
      </w:r>
      <w:r w:rsidR="00067527" w:rsidRPr="00067527">
        <w:rPr>
          <w:rFonts w:ascii="Times New Roman" w:hAnsi="Times New Roman" w:cs="Times New Roman"/>
          <w:b/>
          <w:bCs/>
        </w:rPr>
        <w:t>S</w:t>
      </w:r>
      <w:r w:rsidR="00884167">
        <w:rPr>
          <w:rFonts w:ascii="Times New Roman" w:hAnsi="Times New Roman" w:cs="Times New Roman"/>
          <w:b/>
          <w:bCs/>
        </w:rPr>
        <w:t>4</w:t>
      </w:r>
      <w:r w:rsidRPr="00067527">
        <w:rPr>
          <w:rFonts w:ascii="Times New Roman" w:hAnsi="Times New Roman" w:cs="Times New Roman"/>
          <w:b/>
          <w:bCs/>
        </w:rPr>
        <w:t xml:space="preserve">: </w:t>
      </w:r>
      <w:r w:rsidR="003B255E" w:rsidRPr="00067527">
        <w:rPr>
          <w:rFonts w:ascii="Times New Roman" w:hAnsi="Times New Roman" w:cs="Times New Roman"/>
          <w:b/>
          <w:bCs/>
        </w:rPr>
        <w:t xml:space="preserve">Holocene filter age vs elevation plots and paired nuclide diagrams. </w:t>
      </w:r>
    </w:p>
    <w:p w14:paraId="0F7F74E2" w14:textId="60142A3E" w:rsidR="00A0216E" w:rsidRPr="002179EB" w:rsidRDefault="00A0216E" w:rsidP="00A0216E">
      <w:pPr>
        <w:widowControl w:val="0"/>
        <w:autoSpaceDE w:val="0"/>
        <w:autoSpaceDN w:val="0"/>
        <w:adjustRightInd w:val="0"/>
        <w:spacing w:line="360" w:lineRule="auto"/>
        <w:rPr>
          <w:rFonts w:ascii="Times New Roman" w:hAnsi="Times New Roman" w:cs="Times New Roman"/>
          <w:sz w:val="20"/>
          <w:szCs w:val="20"/>
        </w:rPr>
      </w:pPr>
      <w:r w:rsidRPr="002179EB">
        <w:rPr>
          <w:rFonts w:ascii="Times New Roman" w:hAnsi="Times New Roman" w:cs="Times New Roman"/>
          <w:sz w:val="20"/>
          <w:szCs w:val="20"/>
        </w:rPr>
        <w:t>This supplement contains exposure age vs elevation plots (1</w:t>
      </w:r>
      <w:r w:rsidRPr="002179EB">
        <w:rPr>
          <w:rFonts w:ascii="Calibri" w:hAnsi="Calibri" w:cs="Calibri"/>
          <w:sz w:val="20"/>
          <w:szCs w:val="20"/>
        </w:rPr>
        <w:t>σ</w:t>
      </w:r>
      <w:r w:rsidRPr="002179EB">
        <w:rPr>
          <w:rFonts w:ascii="Times New Roman" w:hAnsi="Times New Roman" w:cs="Times New Roman"/>
          <w:sz w:val="20"/>
          <w:szCs w:val="20"/>
        </w:rPr>
        <w:t xml:space="preserve"> uncertainties) and paired nuclide diagrams (68 % error ellipses) displaying all sites were paired in situ </w:t>
      </w:r>
      <w:r w:rsidRPr="002179EB">
        <w:rPr>
          <w:rFonts w:ascii="Times New Roman" w:hAnsi="Times New Roman" w:cs="Times New Roman"/>
          <w:sz w:val="20"/>
          <w:szCs w:val="20"/>
          <w:vertAlign w:val="superscript"/>
        </w:rPr>
        <w:t>14</w:t>
      </w:r>
      <w:r w:rsidRPr="002179EB">
        <w:rPr>
          <w:rFonts w:ascii="Times New Roman" w:hAnsi="Times New Roman" w:cs="Times New Roman"/>
          <w:sz w:val="20"/>
          <w:szCs w:val="20"/>
        </w:rPr>
        <w:t>C-</w:t>
      </w:r>
      <w:r w:rsidRPr="002179EB">
        <w:rPr>
          <w:rFonts w:ascii="Times New Roman" w:hAnsi="Times New Roman" w:cs="Times New Roman"/>
          <w:sz w:val="20"/>
          <w:szCs w:val="20"/>
          <w:vertAlign w:val="superscript"/>
        </w:rPr>
        <w:t>10</w:t>
      </w:r>
      <w:r w:rsidRPr="002179EB">
        <w:rPr>
          <w:rFonts w:ascii="Times New Roman" w:hAnsi="Times New Roman" w:cs="Times New Roman"/>
          <w:sz w:val="20"/>
          <w:szCs w:val="20"/>
        </w:rPr>
        <w:t>Be exposure ages were extracted from ICE-D [last accessed - 29.03.24] using the Holocene search filter (see section 2.3). Sites are numbered according to their unique site ID in ICE-D and correspond to numbering in Figure 1</w:t>
      </w:r>
      <w:r w:rsidR="001269CC" w:rsidRPr="002179EB">
        <w:rPr>
          <w:rFonts w:ascii="Times New Roman" w:hAnsi="Times New Roman" w:cs="Times New Roman"/>
          <w:sz w:val="20"/>
          <w:szCs w:val="20"/>
        </w:rPr>
        <w:t>,</w:t>
      </w:r>
      <w:r w:rsidRPr="002179EB">
        <w:rPr>
          <w:rFonts w:ascii="Times New Roman" w:hAnsi="Times New Roman" w:cs="Times New Roman"/>
          <w:sz w:val="20"/>
          <w:szCs w:val="20"/>
        </w:rPr>
        <w:t xml:space="preserve"> and Table 3 in the main paper. Mt Murphy age vs elevation</w:t>
      </w:r>
      <w:r w:rsidR="001269CC" w:rsidRPr="002179EB">
        <w:rPr>
          <w:rFonts w:ascii="Times New Roman" w:hAnsi="Times New Roman" w:cs="Times New Roman"/>
          <w:sz w:val="20"/>
          <w:szCs w:val="20"/>
        </w:rPr>
        <w:t xml:space="preserve"> plots</w:t>
      </w:r>
      <w:r w:rsidRPr="002179EB">
        <w:rPr>
          <w:rFonts w:ascii="Times New Roman" w:hAnsi="Times New Roman" w:cs="Times New Roman"/>
          <w:sz w:val="20"/>
          <w:szCs w:val="20"/>
        </w:rPr>
        <w:t xml:space="preserve"> and paired nuclide diagrams (sites 2, 7 and 8) </w:t>
      </w:r>
      <w:r w:rsidR="002179EB">
        <w:rPr>
          <w:rFonts w:ascii="Times New Roman" w:hAnsi="Times New Roman" w:cs="Times New Roman"/>
          <w:sz w:val="20"/>
          <w:szCs w:val="20"/>
        </w:rPr>
        <w:t xml:space="preserve">are </w:t>
      </w:r>
      <w:r w:rsidRPr="002179EB">
        <w:rPr>
          <w:rFonts w:ascii="Times New Roman" w:hAnsi="Times New Roman" w:cs="Times New Roman"/>
          <w:sz w:val="20"/>
          <w:szCs w:val="20"/>
        </w:rPr>
        <w:t xml:space="preserve">in the main paper (Fig. </w:t>
      </w:r>
      <w:r w:rsidR="002D25C3">
        <w:rPr>
          <w:rFonts w:ascii="Times New Roman" w:hAnsi="Times New Roman" w:cs="Times New Roman"/>
          <w:sz w:val="20"/>
          <w:szCs w:val="20"/>
        </w:rPr>
        <w:t>4</w:t>
      </w:r>
      <w:r w:rsidRPr="002179EB">
        <w:rPr>
          <w:rFonts w:ascii="Times New Roman" w:hAnsi="Times New Roman" w:cs="Times New Roman"/>
          <w:sz w:val="20"/>
          <w:szCs w:val="20"/>
        </w:rPr>
        <w:t xml:space="preserve">, Fig. </w:t>
      </w:r>
      <w:r w:rsidR="002D25C3">
        <w:rPr>
          <w:rFonts w:ascii="Times New Roman" w:hAnsi="Times New Roman" w:cs="Times New Roman"/>
          <w:sz w:val="20"/>
          <w:szCs w:val="20"/>
        </w:rPr>
        <w:t>5</w:t>
      </w:r>
      <w:r w:rsidRPr="002179EB">
        <w:rPr>
          <w:rFonts w:ascii="Times New Roman" w:hAnsi="Times New Roman" w:cs="Times New Roman"/>
          <w:sz w:val="20"/>
          <w:szCs w:val="20"/>
        </w:rPr>
        <w:t xml:space="preserve">). </w:t>
      </w:r>
    </w:p>
    <w:p w14:paraId="27B3AE16"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332A4D5F"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 xml:space="preserve">Site 1: Mt Rea, Sarnoff Mts. (Ross Sea) - Type 3 </w:t>
      </w:r>
    </w:p>
    <w:p w14:paraId="78E70502"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14AAFF3" wp14:editId="094CE8CE">
            <wp:extent cx="5920115" cy="2421331"/>
            <wp:effectExtent l="0" t="0" r="4445" b="0"/>
            <wp:docPr id="862813284" name="Picture 1"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813284" name="Picture 1" descr="A graph of a graph of a graph of a graph of a graph of a graph of a graph of a graph of a graph of a graph of a graph of a graph of a graph of&#10;&#10;Description automatically generated"/>
                    <pic:cNvPicPr/>
                  </pic:nvPicPr>
                  <pic:blipFill rotWithShape="1">
                    <a:blip r:embed="rId18" cstate="print">
                      <a:extLst>
                        <a:ext uri="{28A0092B-C50C-407E-A947-70E740481C1C}">
                          <a14:useLocalDpi xmlns:a14="http://schemas.microsoft.com/office/drawing/2010/main" val="0"/>
                        </a:ext>
                      </a:extLst>
                    </a:blip>
                    <a:srcRect r="3458"/>
                    <a:stretch/>
                  </pic:blipFill>
                  <pic:spPr bwMode="auto">
                    <a:xfrm>
                      <a:off x="0" y="0"/>
                      <a:ext cx="5960928" cy="2438024"/>
                    </a:xfrm>
                    <a:prstGeom prst="rect">
                      <a:avLst/>
                    </a:prstGeom>
                    <a:ln>
                      <a:noFill/>
                    </a:ln>
                    <a:extLst>
                      <a:ext uri="{53640926-AAD7-44D8-BBD7-CCE9431645EC}">
                        <a14:shadowObscured xmlns:a14="http://schemas.microsoft.com/office/drawing/2010/main"/>
                      </a:ext>
                    </a:extLst>
                  </pic:spPr>
                </pic:pic>
              </a:graphicData>
            </a:graphic>
          </wp:inline>
        </w:drawing>
      </w:r>
    </w:p>
    <w:p w14:paraId="51B81337"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1DC5F7A1"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 xml:space="preserve">Site 3: North Masson Range, Framnes </w:t>
      </w:r>
      <w:proofErr w:type="spellStart"/>
      <w:r w:rsidRPr="00A173CD">
        <w:rPr>
          <w:rFonts w:ascii="Times New Roman" w:hAnsi="Times New Roman" w:cs="Times New Roman"/>
          <w:b/>
          <w:bCs/>
        </w:rPr>
        <w:t>Mts</w:t>
      </w:r>
      <w:proofErr w:type="spellEnd"/>
      <w:r w:rsidRPr="00A173CD">
        <w:rPr>
          <w:rFonts w:ascii="Times New Roman" w:hAnsi="Times New Roman" w:cs="Times New Roman"/>
          <w:b/>
          <w:bCs/>
        </w:rPr>
        <w:t xml:space="preserve"> (East Antarctica) - Type 1, 3</w:t>
      </w:r>
    </w:p>
    <w:p w14:paraId="4EB99C60"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68BCD0C" wp14:editId="1C4637A1">
            <wp:extent cx="6195608" cy="2538374"/>
            <wp:effectExtent l="0" t="0" r="0" b="0"/>
            <wp:docPr id="138591898" name="Picture 4" descr="A graph with red lines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1898" name="Picture 4" descr="A graph with red lines and blue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02170" cy="2541062"/>
                    </a:xfrm>
                    <a:prstGeom prst="rect">
                      <a:avLst/>
                    </a:prstGeom>
                  </pic:spPr>
                </pic:pic>
              </a:graphicData>
            </a:graphic>
          </wp:inline>
        </w:drawing>
      </w:r>
    </w:p>
    <w:p w14:paraId="41B0F441"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3C97323D"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257566FF" w14:textId="77777777" w:rsidR="00636521" w:rsidRDefault="00636521" w:rsidP="00A0216E">
      <w:pPr>
        <w:widowControl w:val="0"/>
        <w:autoSpaceDE w:val="0"/>
        <w:autoSpaceDN w:val="0"/>
        <w:adjustRightInd w:val="0"/>
        <w:spacing w:line="240" w:lineRule="auto"/>
        <w:rPr>
          <w:rFonts w:ascii="Times New Roman" w:hAnsi="Times New Roman" w:cs="Times New Roman"/>
          <w:b/>
          <w:bCs/>
        </w:rPr>
      </w:pPr>
    </w:p>
    <w:p w14:paraId="7EF04BD3" w14:textId="77777777" w:rsidR="00CB706D" w:rsidRDefault="00CB706D" w:rsidP="00A0216E">
      <w:pPr>
        <w:widowControl w:val="0"/>
        <w:autoSpaceDE w:val="0"/>
        <w:autoSpaceDN w:val="0"/>
        <w:adjustRightInd w:val="0"/>
        <w:spacing w:line="240" w:lineRule="auto"/>
        <w:rPr>
          <w:rFonts w:ascii="Times New Roman" w:hAnsi="Times New Roman" w:cs="Times New Roman"/>
          <w:b/>
          <w:bCs/>
        </w:rPr>
      </w:pPr>
    </w:p>
    <w:p w14:paraId="0F6F12B9" w14:textId="60AA439A"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lastRenderedPageBreak/>
        <w:t xml:space="preserve">Site 4: </w:t>
      </w:r>
      <w:proofErr w:type="spellStart"/>
      <w:r w:rsidRPr="00A173CD">
        <w:rPr>
          <w:rFonts w:ascii="Times New Roman" w:hAnsi="Times New Roman" w:cs="Times New Roman"/>
          <w:b/>
          <w:bCs/>
        </w:rPr>
        <w:t>Sharkfin</w:t>
      </w:r>
      <w:proofErr w:type="spellEnd"/>
      <w:r w:rsidRPr="00A173CD">
        <w:rPr>
          <w:rFonts w:ascii="Times New Roman" w:hAnsi="Times New Roman" w:cs="Times New Roman"/>
          <w:b/>
          <w:bCs/>
        </w:rPr>
        <w:t xml:space="preserve"> nunatak, Tucker Glacier (Ross Sea) - Type 1 (2)</w:t>
      </w:r>
    </w:p>
    <w:p w14:paraId="332DFE67"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4CD0CF0A" wp14:editId="01A38B47">
            <wp:extent cx="5731510" cy="2456815"/>
            <wp:effectExtent l="0" t="0" r="2540" b="635"/>
            <wp:docPr id="1789388622"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88622" name="Picture 2" descr="A screenshot of a graph&#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2456815"/>
                    </a:xfrm>
                    <a:prstGeom prst="rect">
                      <a:avLst/>
                    </a:prstGeom>
                  </pic:spPr>
                </pic:pic>
              </a:graphicData>
            </a:graphic>
          </wp:inline>
        </w:drawing>
      </w:r>
    </w:p>
    <w:p w14:paraId="06857BEE"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49F00A04"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5: Mario Zuchelli Station, Terra Nova Bay (Ross Sea) – Type 1</w:t>
      </w:r>
    </w:p>
    <w:p w14:paraId="18BD09E8"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7A22D1B2" wp14:editId="3F1CE502">
            <wp:extent cx="5526157" cy="2585526"/>
            <wp:effectExtent l="0" t="0" r="0" b="5715"/>
            <wp:docPr id="2116917794" name="Picture 5" descr="A graph and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17794" name="Picture 5" descr="A graph and a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35249" cy="2589780"/>
                    </a:xfrm>
                    <a:prstGeom prst="rect">
                      <a:avLst/>
                    </a:prstGeom>
                  </pic:spPr>
                </pic:pic>
              </a:graphicData>
            </a:graphic>
          </wp:inline>
        </w:drawing>
      </w:r>
    </w:p>
    <w:p w14:paraId="2731C394"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3B28C461"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6: Mt Whitmore, Whitmore Mts. (Ross Sea) – Type N/A</w:t>
      </w:r>
    </w:p>
    <w:p w14:paraId="26029F3F"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3138A55" wp14:editId="7FAEC288">
            <wp:extent cx="6077891" cy="1982419"/>
            <wp:effectExtent l="0" t="0" r="0" b="0"/>
            <wp:docPr id="643802552" name="Picture 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802552" name="Picture 6" descr="A screenshot of a graph&#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89376" cy="1986165"/>
                    </a:xfrm>
                    <a:prstGeom prst="rect">
                      <a:avLst/>
                    </a:prstGeom>
                  </pic:spPr>
                </pic:pic>
              </a:graphicData>
            </a:graphic>
          </wp:inline>
        </w:drawing>
      </w:r>
    </w:p>
    <w:p w14:paraId="4DA3FDD7" w14:textId="77777777" w:rsidR="00A0216E" w:rsidRDefault="00A0216E" w:rsidP="00A0216E">
      <w:pPr>
        <w:widowControl w:val="0"/>
        <w:autoSpaceDE w:val="0"/>
        <w:autoSpaceDN w:val="0"/>
        <w:adjustRightInd w:val="0"/>
        <w:spacing w:line="240" w:lineRule="auto"/>
        <w:rPr>
          <w:rFonts w:ascii="Times New Roman" w:hAnsi="Times New Roman" w:cs="Times New Roman"/>
          <w:b/>
          <w:bCs/>
        </w:rPr>
      </w:pPr>
    </w:p>
    <w:p w14:paraId="274E05A9" w14:textId="6CCF479E"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lastRenderedPageBreak/>
        <w:t>Site 9: Mt Hope, Beardmore Glacier (Ross Sea) – Type 1 2</w:t>
      </w:r>
    </w:p>
    <w:p w14:paraId="773BF517"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E69CB92" wp14:editId="2F6B36AA">
            <wp:extent cx="5733037" cy="2387600"/>
            <wp:effectExtent l="0" t="0" r="1270" b="0"/>
            <wp:docPr id="1837431802" name="Picture 7"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31802" name="Picture 7" descr="A graph of a graph&#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1149" cy="2399308"/>
                    </a:xfrm>
                    <a:prstGeom prst="rect">
                      <a:avLst/>
                    </a:prstGeom>
                  </pic:spPr>
                </pic:pic>
              </a:graphicData>
            </a:graphic>
          </wp:inline>
        </w:drawing>
      </w:r>
    </w:p>
    <w:p w14:paraId="5236653F"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0BD6FF53"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10 and Site 11: Cape Marsh and Cape Framnes (Antarctic Peninsula) – Type 1 (2)</w:t>
      </w:r>
    </w:p>
    <w:p w14:paraId="520DDA09"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49E81B3" wp14:editId="2FE2A418">
            <wp:extent cx="6051901" cy="2482850"/>
            <wp:effectExtent l="0" t="0" r="6350" b="0"/>
            <wp:docPr id="137444570" name="Picture 8"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570" name="Picture 8" descr="A screenshot of a graph&#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50203" cy="2523179"/>
                    </a:xfrm>
                    <a:prstGeom prst="rect">
                      <a:avLst/>
                    </a:prstGeom>
                  </pic:spPr>
                </pic:pic>
              </a:graphicData>
            </a:graphic>
          </wp:inline>
        </w:drawing>
      </w:r>
    </w:p>
    <w:p w14:paraId="78725EA9"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56A67FF7" w14:textId="77777777" w:rsidR="00A0216E" w:rsidRPr="00E343FD" w:rsidRDefault="00A0216E" w:rsidP="00A0216E">
      <w:pPr>
        <w:widowControl w:val="0"/>
        <w:autoSpaceDE w:val="0"/>
        <w:autoSpaceDN w:val="0"/>
        <w:adjustRightInd w:val="0"/>
        <w:spacing w:line="240" w:lineRule="auto"/>
        <w:rPr>
          <w:rFonts w:ascii="Times New Roman" w:eastAsia="Times New Roman" w:hAnsi="Times New Roman" w:cs="Times New Roman"/>
          <w:kern w:val="0"/>
          <w:lang w:eastAsia="en-GB"/>
          <w14:ligatures w14:val="none"/>
        </w:rPr>
      </w:pPr>
      <w:r w:rsidRPr="00A173CD">
        <w:rPr>
          <w:rFonts w:ascii="Times New Roman" w:hAnsi="Times New Roman" w:cs="Times New Roman"/>
          <w:b/>
          <w:bCs/>
        </w:rPr>
        <w:t xml:space="preserve">Site 12: Site C, </w:t>
      </w:r>
      <w:r w:rsidRPr="00A173CD">
        <w:rPr>
          <w:rFonts w:ascii="Times New Roman" w:eastAsia="Times New Roman" w:hAnsi="Times New Roman" w:cs="Times New Roman"/>
          <w:b/>
          <w:bCs/>
          <w:kern w:val="0"/>
          <w:lang w:eastAsia="en-GB"/>
          <w14:ligatures w14:val="none"/>
        </w:rPr>
        <w:t>Sjogren-Boydell Fjord (Antarctic Peninsula) – Type 3</w:t>
      </w:r>
      <w:r>
        <w:rPr>
          <w:rFonts w:ascii="Times New Roman" w:eastAsia="Times New Roman" w:hAnsi="Times New Roman" w:cs="Times New Roman"/>
          <w:kern w:val="0"/>
          <w:lang w:eastAsia="en-GB"/>
          <w14:ligatures w14:val="none"/>
        </w:rPr>
        <w:t xml:space="preserve"> </w:t>
      </w:r>
      <w:r>
        <w:rPr>
          <w:rFonts w:ascii="Times New Roman" w:eastAsia="Times New Roman" w:hAnsi="Times New Roman" w:cs="Times New Roman"/>
          <w:noProof/>
          <w:kern w:val="0"/>
          <w:lang w:eastAsia="en-GB"/>
        </w:rPr>
        <w:drawing>
          <wp:inline distT="0" distB="0" distL="0" distR="0" wp14:anchorId="24BDEE0F" wp14:editId="583975DB">
            <wp:extent cx="5245768" cy="2285250"/>
            <wp:effectExtent l="0" t="0" r="0" b="1270"/>
            <wp:docPr id="14876382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638281" name="Picture 9" descr="A screenshot of a graph&#10;&#10;Description automatically generated"/>
                    <pic:cNvPicPr/>
                  </pic:nvPicPr>
                  <pic:blipFill rotWithShape="1">
                    <a:blip r:embed="rId25" cstate="print">
                      <a:extLst>
                        <a:ext uri="{28A0092B-C50C-407E-A947-70E740481C1C}">
                          <a14:useLocalDpi xmlns:a14="http://schemas.microsoft.com/office/drawing/2010/main" val="0"/>
                        </a:ext>
                      </a:extLst>
                    </a:blip>
                    <a:srcRect t="2443" b="373"/>
                    <a:stretch/>
                  </pic:blipFill>
                  <pic:spPr bwMode="auto">
                    <a:xfrm>
                      <a:off x="0" y="0"/>
                      <a:ext cx="5270526" cy="2296035"/>
                    </a:xfrm>
                    <a:prstGeom prst="rect">
                      <a:avLst/>
                    </a:prstGeom>
                    <a:ln>
                      <a:noFill/>
                    </a:ln>
                    <a:extLst>
                      <a:ext uri="{53640926-AAD7-44D8-BBD7-CCE9431645EC}">
                        <a14:shadowObscured xmlns:a14="http://schemas.microsoft.com/office/drawing/2010/main"/>
                      </a:ext>
                    </a:extLst>
                  </pic:spPr>
                </pic:pic>
              </a:graphicData>
            </a:graphic>
          </wp:inline>
        </w:drawing>
      </w:r>
    </w:p>
    <w:p w14:paraId="4C880943" w14:textId="77777777" w:rsidR="00A0216E" w:rsidRDefault="00A0216E" w:rsidP="00A0216E">
      <w:pPr>
        <w:widowControl w:val="0"/>
        <w:autoSpaceDE w:val="0"/>
        <w:autoSpaceDN w:val="0"/>
        <w:adjustRightInd w:val="0"/>
        <w:spacing w:line="240" w:lineRule="auto"/>
        <w:rPr>
          <w:rFonts w:ascii="Times New Roman" w:hAnsi="Times New Roman" w:cs="Times New Roman"/>
          <w:b/>
          <w:bCs/>
        </w:rPr>
      </w:pPr>
    </w:p>
    <w:p w14:paraId="19D823B6" w14:textId="641ED966"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lastRenderedPageBreak/>
        <w:t xml:space="preserve">Site 13: Site E, </w:t>
      </w:r>
      <w:proofErr w:type="spellStart"/>
      <w:r w:rsidRPr="00A173CD">
        <w:rPr>
          <w:rFonts w:ascii="Times New Roman" w:hAnsi="Times New Roman" w:cs="Times New Roman"/>
          <w:b/>
          <w:bCs/>
        </w:rPr>
        <w:t>Drygalski</w:t>
      </w:r>
      <w:proofErr w:type="spellEnd"/>
      <w:r w:rsidRPr="00A173CD">
        <w:rPr>
          <w:rFonts w:ascii="Times New Roman" w:hAnsi="Times New Roman" w:cs="Times New Roman"/>
          <w:b/>
          <w:bCs/>
        </w:rPr>
        <w:t xml:space="preserve"> Glacier (Antarctic Peninsula) – Type 1 2 3 </w:t>
      </w:r>
    </w:p>
    <w:p w14:paraId="13DEC4D4"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4D9F03E7" wp14:editId="44324979">
            <wp:extent cx="5697940" cy="2377402"/>
            <wp:effectExtent l="0" t="0" r="0" b="4445"/>
            <wp:docPr id="658258519" name="Picture 1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58519" name="Picture 10" descr="A screenshot of a graph&#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6304" cy="2393409"/>
                    </a:xfrm>
                    <a:prstGeom prst="rect">
                      <a:avLst/>
                    </a:prstGeom>
                  </pic:spPr>
                </pic:pic>
              </a:graphicData>
            </a:graphic>
          </wp:inline>
        </w:drawing>
      </w:r>
    </w:p>
    <w:p w14:paraId="3BA1B861" w14:textId="77777777" w:rsidR="00636521" w:rsidRDefault="00636521" w:rsidP="00A0216E">
      <w:pPr>
        <w:widowControl w:val="0"/>
        <w:autoSpaceDE w:val="0"/>
        <w:autoSpaceDN w:val="0"/>
        <w:adjustRightInd w:val="0"/>
        <w:spacing w:line="240" w:lineRule="auto"/>
        <w:rPr>
          <w:rFonts w:ascii="Times New Roman" w:hAnsi="Times New Roman" w:cs="Times New Roman"/>
          <w:b/>
          <w:bCs/>
        </w:rPr>
      </w:pPr>
    </w:p>
    <w:p w14:paraId="6431A5F9" w14:textId="23FCFDCF"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14: Mt Kring, David Glacier (Ross Sea) – Type 3</w:t>
      </w:r>
    </w:p>
    <w:p w14:paraId="5FB91AB2"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1E0818C9" wp14:editId="4084DD80">
            <wp:extent cx="5438633" cy="2709073"/>
            <wp:effectExtent l="0" t="0" r="0" b="0"/>
            <wp:docPr id="2053450888" name="Picture 1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50888" name="Picture 12" descr="A screenshot of a graph&#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50790" cy="2715129"/>
                    </a:xfrm>
                    <a:prstGeom prst="rect">
                      <a:avLst/>
                    </a:prstGeom>
                  </pic:spPr>
                </pic:pic>
              </a:graphicData>
            </a:graphic>
          </wp:inline>
        </w:drawing>
      </w:r>
    </w:p>
    <w:p w14:paraId="5B420551"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0ED2C86C"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15 and Site 16: Diamond Hill and Danum Plat., Darwin and Hath</w:t>
      </w:r>
      <w:r>
        <w:rPr>
          <w:rFonts w:ascii="Times New Roman" w:hAnsi="Times New Roman" w:cs="Times New Roman"/>
          <w:b/>
          <w:bCs/>
        </w:rPr>
        <w:t>.</w:t>
      </w:r>
      <w:r w:rsidRPr="00A173CD">
        <w:rPr>
          <w:rFonts w:ascii="Times New Roman" w:hAnsi="Times New Roman" w:cs="Times New Roman"/>
          <w:b/>
          <w:bCs/>
        </w:rPr>
        <w:t xml:space="preserve"> Gl. (Ross Sea) - Type 1</w:t>
      </w:r>
      <w:r>
        <w:rPr>
          <w:rFonts w:ascii="Times New Roman" w:hAnsi="Times New Roman" w:cs="Times New Roman"/>
          <w:b/>
          <w:bCs/>
        </w:rPr>
        <w:t>,</w:t>
      </w:r>
      <w:r w:rsidRPr="00A173CD">
        <w:rPr>
          <w:rFonts w:ascii="Times New Roman" w:hAnsi="Times New Roman" w:cs="Times New Roman"/>
          <w:b/>
          <w:bCs/>
        </w:rPr>
        <w:t xml:space="preserve"> 3</w:t>
      </w:r>
    </w:p>
    <w:p w14:paraId="3AE870CB" w14:textId="21543647" w:rsidR="00A0216E" w:rsidRPr="00636521"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4C7F69B4" wp14:editId="4F06F648">
            <wp:extent cx="5880064" cy="2172614"/>
            <wp:effectExtent l="0" t="0" r="6985" b="0"/>
            <wp:docPr id="1825200711" name="Picture 1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00711" name="Picture 11" descr="A screenshot of a graph&#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81444" cy="2173124"/>
                    </a:xfrm>
                    <a:prstGeom prst="rect">
                      <a:avLst/>
                    </a:prstGeom>
                  </pic:spPr>
                </pic:pic>
              </a:graphicData>
            </a:graphic>
          </wp:inline>
        </w:drawing>
      </w:r>
      <w:r w:rsidRPr="00A173CD">
        <w:rPr>
          <w:rFonts w:ascii="Times New Roman" w:hAnsi="Times New Roman" w:cs="Times New Roman"/>
          <w:b/>
          <w:bCs/>
        </w:rPr>
        <w:lastRenderedPageBreak/>
        <w:t>Site 17: Rhone Glacier, Switzerland (Europe) – Type 2</w:t>
      </w:r>
    </w:p>
    <w:p w14:paraId="023BF31E"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59230477" wp14:editId="2F6F410B">
            <wp:extent cx="5731510" cy="2450465"/>
            <wp:effectExtent l="0" t="0" r="2540" b="6985"/>
            <wp:docPr id="1953938309" name="Picture 1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938309" name="Picture 13" descr="A screenshot of a computer scree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2450465"/>
                    </a:xfrm>
                    <a:prstGeom prst="rect">
                      <a:avLst/>
                    </a:prstGeom>
                  </pic:spPr>
                </pic:pic>
              </a:graphicData>
            </a:graphic>
          </wp:inline>
        </w:drawing>
      </w:r>
    </w:p>
    <w:p w14:paraId="566F655D" w14:textId="77777777" w:rsidR="00636521" w:rsidRDefault="00636521" w:rsidP="00A0216E">
      <w:pPr>
        <w:widowControl w:val="0"/>
        <w:autoSpaceDE w:val="0"/>
        <w:autoSpaceDN w:val="0"/>
        <w:adjustRightInd w:val="0"/>
        <w:spacing w:line="240" w:lineRule="auto"/>
        <w:rPr>
          <w:rFonts w:ascii="Times New Roman" w:hAnsi="Times New Roman" w:cs="Times New Roman"/>
        </w:rPr>
      </w:pPr>
    </w:p>
    <w:p w14:paraId="50EA716E"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18: Gotthard Pass, Switzerland (Europe) – Type 1</w:t>
      </w:r>
    </w:p>
    <w:p w14:paraId="3F01F7D8" w14:textId="0A907D2D" w:rsidR="00A0216E" w:rsidRPr="00636521"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5A1F077B" wp14:editId="736ED445">
            <wp:extent cx="6072864" cy="2523744"/>
            <wp:effectExtent l="0" t="0" r="4445" b="0"/>
            <wp:docPr id="1706197045" name="Picture 14" descr="A graph of a graph and 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97045" name="Picture 14" descr="A graph of a graph and a graph of a graph&#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77268" cy="2525574"/>
                    </a:xfrm>
                    <a:prstGeom prst="rect">
                      <a:avLst/>
                    </a:prstGeom>
                  </pic:spPr>
                </pic:pic>
              </a:graphicData>
            </a:graphic>
          </wp:inline>
        </w:drawing>
      </w:r>
    </w:p>
    <w:p w14:paraId="498DDD47" w14:textId="77777777" w:rsidR="00A0216E" w:rsidRDefault="00A0216E" w:rsidP="00A0216E">
      <w:pPr>
        <w:widowControl w:val="0"/>
        <w:autoSpaceDE w:val="0"/>
        <w:autoSpaceDN w:val="0"/>
        <w:adjustRightInd w:val="0"/>
        <w:spacing w:line="240" w:lineRule="auto"/>
        <w:rPr>
          <w:rFonts w:ascii="Times New Roman" w:hAnsi="Times New Roman" w:cs="Times New Roman"/>
          <w:b/>
          <w:bCs/>
        </w:rPr>
      </w:pPr>
    </w:p>
    <w:p w14:paraId="50FD4D0C" w14:textId="31F4FF60" w:rsidR="00A0216E" w:rsidRPr="00636521" w:rsidRDefault="00A0216E" w:rsidP="00A0216E">
      <w:pPr>
        <w:widowControl w:val="0"/>
        <w:autoSpaceDE w:val="0"/>
        <w:autoSpaceDN w:val="0"/>
        <w:adjustRightInd w:val="0"/>
        <w:spacing w:line="240" w:lineRule="auto"/>
        <w:rPr>
          <w:rFonts w:ascii="Times New Roman" w:hAnsi="Times New Roman" w:cs="Times New Roman"/>
        </w:rPr>
      </w:pPr>
      <w:r w:rsidRPr="00A173CD">
        <w:rPr>
          <w:rFonts w:ascii="Times New Roman" w:hAnsi="Times New Roman" w:cs="Times New Roman"/>
          <w:b/>
          <w:bCs/>
        </w:rPr>
        <w:t xml:space="preserve">Site 19 and Site 20: </w:t>
      </w:r>
      <w:proofErr w:type="spellStart"/>
      <w:r w:rsidRPr="00A173CD">
        <w:rPr>
          <w:rFonts w:ascii="Times New Roman" w:hAnsi="Times New Roman" w:cs="Times New Roman"/>
          <w:b/>
          <w:bCs/>
        </w:rPr>
        <w:t>Kangata</w:t>
      </w:r>
      <w:proofErr w:type="spellEnd"/>
      <w:r w:rsidRPr="00A173CD">
        <w:rPr>
          <w:rFonts w:ascii="Times New Roman" w:hAnsi="Times New Roman" w:cs="Times New Roman"/>
          <w:b/>
          <w:bCs/>
        </w:rPr>
        <w:t xml:space="preserve"> Nunata </w:t>
      </w:r>
      <w:proofErr w:type="spellStart"/>
      <w:r w:rsidRPr="00A173CD">
        <w:rPr>
          <w:rFonts w:ascii="Times New Roman" w:hAnsi="Times New Roman" w:cs="Times New Roman"/>
          <w:b/>
          <w:bCs/>
        </w:rPr>
        <w:t>Sermia</w:t>
      </w:r>
      <w:proofErr w:type="spellEnd"/>
      <w:r w:rsidRPr="00A173CD">
        <w:rPr>
          <w:rFonts w:ascii="Times New Roman" w:hAnsi="Times New Roman" w:cs="Times New Roman"/>
          <w:b/>
          <w:bCs/>
        </w:rPr>
        <w:t>, Greenland – Type 1</w:t>
      </w:r>
      <w:r>
        <w:rPr>
          <w:rFonts w:ascii="Times New Roman" w:hAnsi="Times New Roman" w:cs="Times New Roman"/>
          <w:noProof/>
        </w:rPr>
        <w:drawing>
          <wp:inline distT="0" distB="0" distL="0" distR="0" wp14:anchorId="7DD24C0E" wp14:editId="0635297A">
            <wp:extent cx="5991726" cy="2379829"/>
            <wp:effectExtent l="0" t="0" r="0" b="1905"/>
            <wp:docPr id="1608948548" name="Picture 1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48548" name="Picture 15" descr="A screenshot of a graph&#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02398" cy="2384068"/>
                    </a:xfrm>
                    <a:prstGeom prst="rect">
                      <a:avLst/>
                    </a:prstGeom>
                  </pic:spPr>
                </pic:pic>
              </a:graphicData>
            </a:graphic>
          </wp:inline>
        </w:drawing>
      </w:r>
      <w:r w:rsidRPr="00A173CD">
        <w:rPr>
          <w:rFonts w:ascii="Times New Roman" w:hAnsi="Times New Roman" w:cs="Times New Roman"/>
          <w:b/>
          <w:bCs/>
        </w:rPr>
        <w:lastRenderedPageBreak/>
        <w:t>Site 21: Outboard of present margin, Inglefield Land (Greenland) – Type 1</w:t>
      </w:r>
    </w:p>
    <w:p w14:paraId="20819888"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6D052F51" wp14:editId="4B5B3CB8">
            <wp:extent cx="5643349" cy="2213329"/>
            <wp:effectExtent l="0" t="0" r="0" b="0"/>
            <wp:docPr id="657449387" name="Picture 1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49387" name="Picture 16" descr="A screenshot of a graph&#10;&#10;Description automatically generated"/>
                    <pic:cNvPicPr/>
                  </pic:nvPicPr>
                  <pic:blipFill rotWithShape="1">
                    <a:blip r:embed="rId32" cstate="print">
                      <a:extLst>
                        <a:ext uri="{28A0092B-C50C-407E-A947-70E740481C1C}">
                          <a14:useLocalDpi xmlns:a14="http://schemas.microsoft.com/office/drawing/2010/main" val="0"/>
                        </a:ext>
                      </a:extLst>
                    </a:blip>
                    <a:srcRect r="3221"/>
                    <a:stretch/>
                  </pic:blipFill>
                  <pic:spPr bwMode="auto">
                    <a:xfrm>
                      <a:off x="0" y="0"/>
                      <a:ext cx="5669113" cy="2223434"/>
                    </a:xfrm>
                    <a:prstGeom prst="rect">
                      <a:avLst/>
                    </a:prstGeom>
                    <a:ln>
                      <a:noFill/>
                    </a:ln>
                    <a:extLst>
                      <a:ext uri="{53640926-AAD7-44D8-BBD7-CCE9431645EC}">
                        <a14:shadowObscured xmlns:a14="http://schemas.microsoft.com/office/drawing/2010/main"/>
                      </a:ext>
                    </a:extLst>
                  </pic:spPr>
                </pic:pic>
              </a:graphicData>
            </a:graphic>
          </wp:inline>
        </w:drawing>
      </w:r>
    </w:p>
    <w:p w14:paraId="26C564B6"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7DB562A5" w14:textId="77777777" w:rsidR="00A0216E" w:rsidRDefault="00A0216E" w:rsidP="00A0216E">
      <w:pPr>
        <w:widowControl w:val="0"/>
        <w:autoSpaceDE w:val="0"/>
        <w:autoSpaceDN w:val="0"/>
        <w:adjustRightInd w:val="0"/>
        <w:spacing w:line="240" w:lineRule="auto"/>
        <w:rPr>
          <w:rFonts w:ascii="Times New Roman" w:hAnsi="Times New Roman" w:cs="Times New Roman"/>
          <w:b/>
          <w:bCs/>
          <w:noProof/>
        </w:rPr>
      </w:pPr>
      <w:r w:rsidRPr="00A173CD">
        <w:rPr>
          <w:rFonts w:ascii="Times New Roman" w:hAnsi="Times New Roman" w:cs="Times New Roman"/>
          <w:b/>
          <w:bCs/>
        </w:rPr>
        <w:t xml:space="preserve">Site 22: </w:t>
      </w:r>
      <w:proofErr w:type="spellStart"/>
      <w:r w:rsidRPr="00A173CD">
        <w:rPr>
          <w:rFonts w:ascii="Times New Roman" w:hAnsi="Times New Roman" w:cs="Times New Roman"/>
          <w:b/>
          <w:bCs/>
        </w:rPr>
        <w:t>Macualay</w:t>
      </w:r>
      <w:proofErr w:type="spellEnd"/>
      <w:r w:rsidRPr="00A173CD">
        <w:rPr>
          <w:rFonts w:ascii="Times New Roman" w:hAnsi="Times New Roman" w:cs="Times New Roman"/>
          <w:b/>
          <w:bCs/>
        </w:rPr>
        <w:t xml:space="preserve"> Boulder Field, Southern Alps (New Zealand) </w:t>
      </w:r>
      <w:r w:rsidRPr="00A173CD">
        <w:rPr>
          <w:rFonts w:ascii="Times New Roman" w:hAnsi="Times New Roman" w:cs="Times New Roman"/>
          <w:b/>
          <w:bCs/>
          <w:noProof/>
        </w:rPr>
        <w:t>– Type 1</w:t>
      </w:r>
      <w:r>
        <w:rPr>
          <w:rFonts w:ascii="Times New Roman" w:hAnsi="Times New Roman" w:cs="Times New Roman"/>
          <w:noProof/>
        </w:rPr>
        <w:drawing>
          <wp:inline distT="0" distB="0" distL="0" distR="0" wp14:anchorId="2BA5372A" wp14:editId="7C4221E4">
            <wp:extent cx="5731510" cy="2357755"/>
            <wp:effectExtent l="0" t="0" r="2540" b="4445"/>
            <wp:docPr id="2015706702" name="Picture 17"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706702" name="Picture 17" descr="A screenshot of a graph&#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2357755"/>
                    </a:xfrm>
                    <a:prstGeom prst="rect">
                      <a:avLst/>
                    </a:prstGeom>
                  </pic:spPr>
                </pic:pic>
              </a:graphicData>
            </a:graphic>
          </wp:inline>
        </w:drawing>
      </w:r>
    </w:p>
    <w:p w14:paraId="08688B6E" w14:textId="77777777" w:rsidR="00636521" w:rsidRDefault="00636521" w:rsidP="00A0216E">
      <w:pPr>
        <w:widowControl w:val="0"/>
        <w:autoSpaceDE w:val="0"/>
        <w:autoSpaceDN w:val="0"/>
        <w:adjustRightInd w:val="0"/>
        <w:spacing w:line="240" w:lineRule="auto"/>
        <w:rPr>
          <w:rFonts w:ascii="Times New Roman" w:hAnsi="Times New Roman" w:cs="Times New Roman"/>
        </w:rPr>
      </w:pPr>
    </w:p>
    <w:p w14:paraId="32964D8D"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noProof/>
        </w:rPr>
      </w:pPr>
      <w:r w:rsidRPr="00A173CD">
        <w:rPr>
          <w:rFonts w:ascii="Times New Roman" w:hAnsi="Times New Roman" w:cs="Times New Roman"/>
          <w:b/>
          <w:bCs/>
        </w:rPr>
        <w:t xml:space="preserve">Site 23: </w:t>
      </w:r>
      <w:r w:rsidRPr="00A173CD">
        <w:rPr>
          <w:rFonts w:ascii="Times New Roman" w:hAnsi="Times New Roman" w:cs="Times New Roman"/>
          <w:b/>
          <w:bCs/>
          <w:noProof/>
        </w:rPr>
        <w:t>Marrait Moraine, Jakobshavn Isfjord (Greenland) – Type 1</w:t>
      </w:r>
    </w:p>
    <w:p w14:paraId="4B29EC92"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101B2DA7" wp14:editId="7DB32306">
            <wp:extent cx="5731510" cy="2303145"/>
            <wp:effectExtent l="0" t="0" r="2540" b="1905"/>
            <wp:docPr id="1494984124" name="Picture 20" descr="A graph of a person with a red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984124" name="Picture 20" descr="A graph of a person with a red circle&#10;&#10;Description automatically generated with medium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2303145"/>
                    </a:xfrm>
                    <a:prstGeom prst="rect">
                      <a:avLst/>
                    </a:prstGeom>
                  </pic:spPr>
                </pic:pic>
              </a:graphicData>
            </a:graphic>
          </wp:inline>
        </w:drawing>
      </w:r>
    </w:p>
    <w:p w14:paraId="2265686B"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481DC815" w14:textId="77777777" w:rsidR="00636521" w:rsidRDefault="00636521" w:rsidP="00A0216E">
      <w:pPr>
        <w:widowControl w:val="0"/>
        <w:autoSpaceDE w:val="0"/>
        <w:autoSpaceDN w:val="0"/>
        <w:adjustRightInd w:val="0"/>
        <w:spacing w:line="240" w:lineRule="auto"/>
        <w:rPr>
          <w:rFonts w:ascii="Times New Roman" w:hAnsi="Times New Roman" w:cs="Times New Roman"/>
          <w:b/>
          <w:bCs/>
        </w:rPr>
      </w:pPr>
    </w:p>
    <w:p w14:paraId="340C2BA3" w14:textId="2DB9B33C"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lastRenderedPageBreak/>
        <w:t>Site 24: Grey Hunter Massif, MacArthur Mts. (Yukon) – Type 1</w:t>
      </w:r>
    </w:p>
    <w:p w14:paraId="51F2DEDC"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5C53A8B2" wp14:editId="57BB6695">
            <wp:extent cx="5486400" cy="2374239"/>
            <wp:effectExtent l="0" t="0" r="0" b="7620"/>
            <wp:docPr id="2079736944" name="Picture 18" descr="A graph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36944" name="Picture 18" descr="A graph and a diagram&#10;&#10;Description automatically generated with medium confidenc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91494" cy="2376444"/>
                    </a:xfrm>
                    <a:prstGeom prst="rect">
                      <a:avLst/>
                    </a:prstGeom>
                  </pic:spPr>
                </pic:pic>
              </a:graphicData>
            </a:graphic>
          </wp:inline>
        </w:drawing>
      </w:r>
    </w:p>
    <w:p w14:paraId="6D5C852C"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116DCE5E"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25: Western upland nunatak, Sisimiut Peninsula (Greenland) – Type 1</w:t>
      </w:r>
    </w:p>
    <w:p w14:paraId="3C92967C"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7058AE0C" wp14:editId="6809B6EC">
            <wp:extent cx="5342021" cy="2340167"/>
            <wp:effectExtent l="0" t="0" r="0" b="3175"/>
            <wp:docPr id="305013435" name="Picture 2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13435" name="Picture 21" descr="A screenshot of a graph&#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53712" cy="2345288"/>
                    </a:xfrm>
                    <a:prstGeom prst="rect">
                      <a:avLst/>
                    </a:prstGeom>
                  </pic:spPr>
                </pic:pic>
              </a:graphicData>
            </a:graphic>
          </wp:inline>
        </w:drawing>
      </w:r>
    </w:p>
    <w:p w14:paraId="247930C4" w14:textId="77777777" w:rsidR="00636521" w:rsidRDefault="00636521" w:rsidP="00A0216E">
      <w:pPr>
        <w:widowControl w:val="0"/>
        <w:autoSpaceDE w:val="0"/>
        <w:autoSpaceDN w:val="0"/>
        <w:adjustRightInd w:val="0"/>
        <w:spacing w:line="240" w:lineRule="auto"/>
        <w:rPr>
          <w:rFonts w:ascii="Times New Roman" w:hAnsi="Times New Roman" w:cs="Times New Roman"/>
        </w:rPr>
      </w:pPr>
    </w:p>
    <w:p w14:paraId="5EA3DE93" w14:textId="77777777"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t>Site 26: Mammoth Glacier forefield, Wind River Range (Wyoming) – Type 1</w:t>
      </w:r>
    </w:p>
    <w:p w14:paraId="4F9E8AD6"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21A1E2E8" wp14:editId="5A8AA636">
            <wp:extent cx="5603443" cy="2295760"/>
            <wp:effectExtent l="0" t="0" r="0" b="9525"/>
            <wp:docPr id="1798060625" name="Picture 2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060625" name="Picture 22" descr="A screenshot of a graph&#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05318" cy="2296528"/>
                    </a:xfrm>
                    <a:prstGeom prst="rect">
                      <a:avLst/>
                    </a:prstGeom>
                  </pic:spPr>
                </pic:pic>
              </a:graphicData>
            </a:graphic>
          </wp:inline>
        </w:drawing>
      </w:r>
    </w:p>
    <w:p w14:paraId="280D6CB5" w14:textId="77777777" w:rsidR="00636521" w:rsidRDefault="00636521" w:rsidP="00A0216E">
      <w:pPr>
        <w:widowControl w:val="0"/>
        <w:autoSpaceDE w:val="0"/>
        <w:autoSpaceDN w:val="0"/>
        <w:adjustRightInd w:val="0"/>
        <w:spacing w:line="240" w:lineRule="auto"/>
        <w:rPr>
          <w:rFonts w:ascii="Times New Roman" w:hAnsi="Times New Roman" w:cs="Times New Roman"/>
        </w:rPr>
      </w:pPr>
    </w:p>
    <w:p w14:paraId="3C57598B" w14:textId="58509FC0" w:rsidR="00A0216E" w:rsidRPr="00A173CD" w:rsidRDefault="00A0216E" w:rsidP="00A0216E">
      <w:pPr>
        <w:widowControl w:val="0"/>
        <w:autoSpaceDE w:val="0"/>
        <w:autoSpaceDN w:val="0"/>
        <w:adjustRightInd w:val="0"/>
        <w:spacing w:line="240" w:lineRule="auto"/>
        <w:rPr>
          <w:rFonts w:ascii="Times New Roman" w:hAnsi="Times New Roman" w:cs="Times New Roman"/>
          <w:b/>
          <w:bCs/>
        </w:rPr>
      </w:pPr>
      <w:r w:rsidRPr="00A173CD">
        <w:rPr>
          <w:rFonts w:ascii="Times New Roman" w:hAnsi="Times New Roman" w:cs="Times New Roman"/>
          <w:b/>
          <w:bCs/>
        </w:rPr>
        <w:lastRenderedPageBreak/>
        <w:t>Site 27: Conness Glacier forefield, Sierra Nevada (California) – Type 1 2 3 (elongate)</w:t>
      </w:r>
    </w:p>
    <w:p w14:paraId="7E130C06" w14:textId="77777777" w:rsidR="00A0216E" w:rsidRDefault="00A0216E" w:rsidP="00A0216E">
      <w:pPr>
        <w:widowControl w:val="0"/>
        <w:autoSpaceDE w:val="0"/>
        <w:autoSpaceDN w:val="0"/>
        <w:adjustRightInd w:val="0"/>
        <w:spacing w:line="240" w:lineRule="auto"/>
        <w:rPr>
          <w:rFonts w:ascii="Times New Roman" w:hAnsi="Times New Roman" w:cs="Times New Roman"/>
        </w:rPr>
      </w:pPr>
      <w:r>
        <w:rPr>
          <w:rFonts w:ascii="Times New Roman" w:hAnsi="Times New Roman" w:cs="Times New Roman"/>
          <w:noProof/>
        </w:rPr>
        <w:drawing>
          <wp:inline distT="0" distB="0" distL="0" distR="0" wp14:anchorId="14174DD8" wp14:editId="5D122458">
            <wp:extent cx="5786323" cy="2412998"/>
            <wp:effectExtent l="0" t="0" r="5080" b="6985"/>
            <wp:docPr id="1488821831" name="Picture 23" descr="A graph of a graph with a hand drawn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21831" name="Picture 23" descr="A graph of a graph with a hand drawn line&#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96536" cy="2417257"/>
                    </a:xfrm>
                    <a:prstGeom prst="rect">
                      <a:avLst/>
                    </a:prstGeom>
                  </pic:spPr>
                </pic:pic>
              </a:graphicData>
            </a:graphic>
          </wp:inline>
        </w:drawing>
      </w:r>
    </w:p>
    <w:p w14:paraId="3BC13CEA" w14:textId="77777777" w:rsidR="00A0216E" w:rsidRDefault="00A0216E" w:rsidP="00A0216E">
      <w:pPr>
        <w:widowControl w:val="0"/>
        <w:autoSpaceDE w:val="0"/>
        <w:autoSpaceDN w:val="0"/>
        <w:adjustRightInd w:val="0"/>
        <w:spacing w:line="240" w:lineRule="auto"/>
        <w:rPr>
          <w:rFonts w:ascii="Times New Roman" w:hAnsi="Times New Roman" w:cs="Times New Roman"/>
        </w:rPr>
      </w:pPr>
    </w:p>
    <w:p w14:paraId="7F4AA4DC" w14:textId="77777777" w:rsidR="00A0216E" w:rsidRDefault="00A0216E" w:rsidP="00A0216E">
      <w:pPr>
        <w:widowControl w:val="0"/>
        <w:autoSpaceDE w:val="0"/>
        <w:autoSpaceDN w:val="0"/>
        <w:adjustRightInd w:val="0"/>
        <w:spacing w:line="240" w:lineRule="auto"/>
        <w:jc w:val="center"/>
        <w:rPr>
          <w:rFonts w:ascii="Times New Roman" w:hAnsi="Times New Roman" w:cs="Times New Roman"/>
          <w:b/>
          <w:bCs/>
        </w:rPr>
      </w:pPr>
    </w:p>
    <w:p w14:paraId="6DA3938A" w14:textId="77777777" w:rsidR="00A0216E" w:rsidRDefault="00A0216E" w:rsidP="00A0216E">
      <w:pPr>
        <w:widowControl w:val="0"/>
        <w:autoSpaceDE w:val="0"/>
        <w:autoSpaceDN w:val="0"/>
        <w:adjustRightInd w:val="0"/>
        <w:spacing w:line="240" w:lineRule="auto"/>
        <w:rPr>
          <w:rFonts w:ascii="Times New Roman" w:hAnsi="Times New Roman" w:cs="Times New Roman"/>
        </w:rPr>
      </w:pPr>
      <w:r w:rsidRPr="00A173CD">
        <w:rPr>
          <w:rFonts w:ascii="Times New Roman" w:hAnsi="Times New Roman" w:cs="Times New Roman"/>
          <w:b/>
          <w:bCs/>
        </w:rPr>
        <w:t>Site 28: Unnamed Glacier, Juneau Ice Field (Alaska) – Type 1 2 3</w:t>
      </w:r>
      <w:r>
        <w:rPr>
          <w:rFonts w:ascii="Times New Roman" w:hAnsi="Times New Roman" w:cs="Times New Roman"/>
          <w:noProof/>
        </w:rPr>
        <w:drawing>
          <wp:inline distT="0" distB="0" distL="0" distR="0" wp14:anchorId="1C092BBF" wp14:editId="26E007D1">
            <wp:extent cx="5828849" cy="2021305"/>
            <wp:effectExtent l="0" t="0" r="635" b="0"/>
            <wp:docPr id="736401647" name="Picture 24" descr="A graph with red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401647" name="Picture 24" descr="A graph with red dots and numb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33215" cy="2022819"/>
                    </a:xfrm>
                    <a:prstGeom prst="rect">
                      <a:avLst/>
                    </a:prstGeom>
                  </pic:spPr>
                </pic:pic>
              </a:graphicData>
            </a:graphic>
          </wp:inline>
        </w:drawing>
      </w:r>
    </w:p>
    <w:p w14:paraId="6425F8DF" w14:textId="77777777" w:rsidR="00A0216E" w:rsidRDefault="00A0216E">
      <w:pPr>
        <w:rPr>
          <w:rFonts w:ascii="Times New Roman" w:hAnsi="Times New Roman" w:cs="Times New Roman"/>
          <w:u w:val="single"/>
        </w:rPr>
      </w:pPr>
    </w:p>
    <w:p w14:paraId="530B673F" w14:textId="77777777" w:rsidR="00E54401" w:rsidRDefault="00E54401">
      <w:pPr>
        <w:rPr>
          <w:rFonts w:ascii="Times New Roman" w:hAnsi="Times New Roman" w:cs="Times New Roman"/>
          <w:u w:val="single"/>
        </w:rPr>
      </w:pPr>
    </w:p>
    <w:p w14:paraId="6CF55CA0" w14:textId="77777777" w:rsidR="00E54401" w:rsidRDefault="00E54401">
      <w:pPr>
        <w:rPr>
          <w:rFonts w:ascii="Times New Roman" w:hAnsi="Times New Roman" w:cs="Times New Roman"/>
          <w:u w:val="single"/>
        </w:rPr>
      </w:pPr>
    </w:p>
    <w:p w14:paraId="258DE3CE" w14:textId="77777777" w:rsidR="00E54401" w:rsidRDefault="00E54401">
      <w:pPr>
        <w:rPr>
          <w:rFonts w:ascii="Times New Roman" w:hAnsi="Times New Roman" w:cs="Times New Roman"/>
          <w:u w:val="single"/>
        </w:rPr>
      </w:pPr>
    </w:p>
    <w:p w14:paraId="2E5201CA" w14:textId="77777777" w:rsidR="00E54401" w:rsidRDefault="00E54401">
      <w:pPr>
        <w:rPr>
          <w:rFonts w:ascii="Times New Roman" w:hAnsi="Times New Roman" w:cs="Times New Roman"/>
          <w:u w:val="single"/>
        </w:rPr>
      </w:pPr>
    </w:p>
    <w:p w14:paraId="45BBEFA8" w14:textId="77777777" w:rsidR="00E54401" w:rsidRDefault="00E54401">
      <w:pPr>
        <w:rPr>
          <w:rFonts w:ascii="Times New Roman" w:hAnsi="Times New Roman" w:cs="Times New Roman"/>
          <w:u w:val="single"/>
        </w:rPr>
      </w:pPr>
    </w:p>
    <w:p w14:paraId="26E5B3EF" w14:textId="77777777" w:rsidR="00E54401" w:rsidRDefault="00E54401">
      <w:pPr>
        <w:rPr>
          <w:rFonts w:ascii="Times New Roman" w:hAnsi="Times New Roman" w:cs="Times New Roman"/>
          <w:u w:val="single"/>
        </w:rPr>
      </w:pPr>
    </w:p>
    <w:p w14:paraId="205B5EA4" w14:textId="77777777" w:rsidR="00E54401" w:rsidRDefault="00E54401">
      <w:pPr>
        <w:rPr>
          <w:rFonts w:ascii="Times New Roman" w:hAnsi="Times New Roman" w:cs="Times New Roman"/>
          <w:u w:val="single"/>
        </w:rPr>
      </w:pPr>
    </w:p>
    <w:p w14:paraId="1B0745B9" w14:textId="77777777" w:rsidR="00E54401" w:rsidRDefault="00E54401">
      <w:pPr>
        <w:rPr>
          <w:rFonts w:ascii="Times New Roman" w:hAnsi="Times New Roman" w:cs="Times New Roman"/>
          <w:u w:val="single"/>
        </w:rPr>
      </w:pPr>
    </w:p>
    <w:p w14:paraId="2D7271D6" w14:textId="77777777" w:rsidR="00E54401" w:rsidRDefault="00E54401">
      <w:pPr>
        <w:rPr>
          <w:rFonts w:ascii="Times New Roman" w:hAnsi="Times New Roman" w:cs="Times New Roman"/>
          <w:u w:val="single"/>
        </w:rPr>
      </w:pPr>
    </w:p>
    <w:p w14:paraId="5F992104" w14:textId="77777777" w:rsidR="00E54401" w:rsidRDefault="00E54401">
      <w:pPr>
        <w:rPr>
          <w:rFonts w:ascii="Times New Roman" w:hAnsi="Times New Roman" w:cs="Times New Roman"/>
          <w:u w:val="single"/>
        </w:rPr>
      </w:pPr>
    </w:p>
    <w:p w14:paraId="07701D8A" w14:textId="77777777" w:rsidR="00E54401" w:rsidRDefault="00E54401">
      <w:pPr>
        <w:rPr>
          <w:rFonts w:ascii="Times New Roman" w:hAnsi="Times New Roman" w:cs="Times New Roman"/>
          <w:u w:val="single"/>
        </w:rPr>
      </w:pPr>
    </w:p>
    <w:p w14:paraId="1A8763C5" w14:textId="6427A35A" w:rsidR="00E54401" w:rsidRDefault="00E54401">
      <w:pPr>
        <w:rPr>
          <w:rFonts w:ascii="Times New Roman" w:hAnsi="Times New Roman" w:cs="Times New Roman"/>
          <w:b/>
          <w:bCs/>
          <w:sz w:val="28"/>
          <w:szCs w:val="28"/>
          <w:u w:val="single"/>
        </w:rPr>
      </w:pPr>
      <w:r w:rsidRPr="00E54401">
        <w:rPr>
          <w:rFonts w:ascii="Times New Roman" w:hAnsi="Times New Roman" w:cs="Times New Roman"/>
          <w:b/>
          <w:bCs/>
          <w:sz w:val="28"/>
          <w:szCs w:val="28"/>
          <w:u w:val="single"/>
        </w:rPr>
        <w:lastRenderedPageBreak/>
        <w:t>Bibliography</w:t>
      </w:r>
      <w:r>
        <w:rPr>
          <w:rFonts w:ascii="Times New Roman" w:hAnsi="Times New Roman" w:cs="Times New Roman"/>
          <w:b/>
          <w:bCs/>
          <w:sz w:val="28"/>
          <w:szCs w:val="28"/>
          <w:u w:val="single"/>
        </w:rPr>
        <w:t xml:space="preserve"> – supplementary materials</w:t>
      </w:r>
    </w:p>
    <w:p w14:paraId="6E0C1B52" w14:textId="77777777" w:rsidR="00E54401" w:rsidRPr="00E54401" w:rsidRDefault="00E54401">
      <w:pPr>
        <w:rPr>
          <w:rFonts w:ascii="Times New Roman" w:hAnsi="Times New Roman" w:cs="Times New Roman"/>
          <w:b/>
          <w:bCs/>
          <w:sz w:val="28"/>
          <w:szCs w:val="28"/>
          <w:u w:val="single"/>
        </w:rPr>
      </w:pPr>
    </w:p>
    <w:p w14:paraId="3B6DD1F1" w14:textId="04B98461" w:rsidR="00820E26" w:rsidRPr="00820E26" w:rsidRDefault="00E54401" w:rsidP="00820E26">
      <w:pPr>
        <w:widowControl w:val="0"/>
        <w:autoSpaceDE w:val="0"/>
        <w:autoSpaceDN w:val="0"/>
        <w:adjustRightInd w:val="0"/>
        <w:spacing w:line="240" w:lineRule="auto"/>
        <w:rPr>
          <w:rFonts w:ascii="Times New Roman" w:hAnsi="Times New Roman" w:cs="Times New Roman"/>
          <w:noProof/>
          <w:kern w:val="0"/>
        </w:rPr>
      </w:pPr>
      <w:r>
        <w:rPr>
          <w:rFonts w:ascii="Times New Roman" w:hAnsi="Times New Roman" w:cs="Times New Roman"/>
          <w:b/>
          <w:bCs/>
          <w:u w:val="single"/>
        </w:rPr>
        <w:fldChar w:fldCharType="begin" w:fldLock="1"/>
      </w:r>
      <w:r>
        <w:rPr>
          <w:rFonts w:ascii="Times New Roman" w:hAnsi="Times New Roman" w:cs="Times New Roman"/>
          <w:b/>
          <w:bCs/>
          <w:u w:val="single"/>
        </w:rPr>
        <w:instrText xml:space="preserve">ADDIN Mendeley Bibliography CSL_BIBLIOGRAPHY </w:instrText>
      </w:r>
      <w:r>
        <w:rPr>
          <w:rFonts w:ascii="Times New Roman" w:hAnsi="Times New Roman" w:cs="Times New Roman"/>
          <w:b/>
          <w:bCs/>
          <w:u w:val="single"/>
        </w:rPr>
        <w:fldChar w:fldCharType="separate"/>
      </w:r>
      <w:r w:rsidR="00820E26" w:rsidRPr="00820E26">
        <w:rPr>
          <w:rFonts w:ascii="Times New Roman" w:hAnsi="Times New Roman" w:cs="Times New Roman"/>
          <w:noProof/>
          <w:kern w:val="0"/>
        </w:rPr>
        <w:t xml:space="preserve">Adams, J. R., Johnson, J. S., Roberts, S. J., Mason, P. J., Nichols, K. A., Venturelli, R. A., Wilcken, K., Balco, G., Goehring, B., Hall, B., Woodward, J., and Rood, D. H.: New </w:t>
      </w:r>
      <w:r w:rsidR="00820E26" w:rsidRPr="00820E26">
        <w:rPr>
          <w:rFonts w:ascii="Times New Roman" w:hAnsi="Times New Roman" w:cs="Times New Roman"/>
          <w:noProof/>
          <w:kern w:val="0"/>
          <w:vertAlign w:val="superscript"/>
        </w:rPr>
        <w:t>10</w:t>
      </w:r>
      <w:r w:rsidR="00820E26" w:rsidRPr="00820E26">
        <w:rPr>
          <w:rFonts w:ascii="Times New Roman" w:hAnsi="Times New Roman" w:cs="Times New Roman"/>
          <w:noProof/>
          <w:kern w:val="0"/>
        </w:rPr>
        <w:t>Be exposure ages improve Holocene ice sheet thinning history near the grounding line of Pope Glacier, Antarctica, Cryosph., 16, 4887–4905, https://doi.org/10.5194/tc-16-4887-2022, 2022.</w:t>
      </w:r>
    </w:p>
    <w:p w14:paraId="7F1BEAAE"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Balco, G., Todd, C., Goehring, B. M., Moening-swanson, I., and Nichols, K.: Glacial geology and cosmogenic-nuclide exposure ages from the Tucker Glacier - Whitehall Glacier confluence, Northern Victoria Land, Antarctica, Am. J. Sci., 319, 255–286, https://doi.org/10.2475/04.2019.01, 2019.</w:t>
      </w:r>
    </w:p>
    <w:p w14:paraId="6D071722"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Balco, G., Brown, N., Nichols, K., Venturelli, R. A., Adams, J., Braddock, S., Campbell, S., Goehring, B., Johnson, J. S., Rood, D. H., Wilcken, K., Hall, B., and Woodward, J.: Response to review 2 (Nat Lifton) of “Reversible ice sheet thinning in the Amundsen Sea embayment during the late Holocene,” Cryosph. Discuss., 33, 1–12, https://doi.org/doi.org/10.5194/tc-2022-172-AC2, 2022.</w:t>
      </w:r>
    </w:p>
    <w:p w14:paraId="440F725B"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Balco, G., Brown, N., Nichols, K., Venturelli, R. A., Adams, J., Braddock, S., Campbell, S., Goehring, B., Johnson, J. S., Rood, D. H., Wilcken, K., Hall, B., and Woodward, J.: Reversible ice sheet thinning in the Amundsen Sea Embayment during the Late Holocene, Cryosph., 17, 1787–1801, 2023.</w:t>
      </w:r>
    </w:p>
    <w:p w14:paraId="1FA2E267"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Bevington, P. and Robinson, D.: Data reduction and error analysis for the physical sciences, 3rd Editio., edited by: Bruflodt, D. and Cotkin, S. J., McGraw Hill, New York, 1–313 pp., 1993.</w:t>
      </w:r>
    </w:p>
    <w:p w14:paraId="46D45EFC"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Corbett, L. B., Bierman, P. R., Brown, T. A., Caffee, M. W., Fink, D., Freeman, S. P. H. T., Hidy, A. J., Rood, D. H., Wilcken, K. M., and Woodruff, T. E.: Clean quartz matters for cosmogenic nuclide analyses: An exploration of the importance of sample purity using the CRONUS-N reference material, Quat. Geochronol., 73, 101403, https://doi.org/10.1016/j.quageo.2022.101403, 2022.</w:t>
      </w:r>
    </w:p>
    <w:p w14:paraId="5C4CD405"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Johnson, J. S., Roberts, S. J., Rood, D. H., Pollard, D., Schaefer, J. M., Whitehouse, P. L., Ireland, L. C., Lamp, J. L., Goehring, B. M., Rand, C., and Smith, J. A.: Deglaciation of Pope Glacier implies widespread early Holocene ice sheet thinning in the Amundsen Sea sector of Antarctica, Earth Planet. Sci. Lett., 548, 116–501, https://doi.org/10.1016/j.epsl.2020.116501, 2020.</w:t>
      </w:r>
    </w:p>
    <w:p w14:paraId="0A6EA1EE"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Jull, A. J. T., Scott, E. M., and Bierman, P.: The CRONUS-Earth inter-comparison for cosmogenic isotope analysis, Quat. Geochronol., 26, 3–10, https://doi.org/10.1016/j.quageo.2013.09.003, 2015.</w:t>
      </w:r>
    </w:p>
    <w:p w14:paraId="5146E055"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 xml:space="preserve">Koester, A. J. and Lifton, N. A.: Technical note: A software framework for calculating compositionally dependent in situ </w:t>
      </w:r>
      <w:r w:rsidRPr="00820E26">
        <w:rPr>
          <w:rFonts w:ascii="Times New Roman" w:hAnsi="Times New Roman" w:cs="Times New Roman"/>
          <w:noProof/>
          <w:kern w:val="0"/>
          <w:vertAlign w:val="superscript"/>
        </w:rPr>
        <w:t>14</w:t>
      </w:r>
      <w:r w:rsidRPr="00820E26">
        <w:rPr>
          <w:rFonts w:ascii="Times New Roman" w:hAnsi="Times New Roman" w:cs="Times New Roman"/>
          <w:noProof/>
          <w:kern w:val="0"/>
        </w:rPr>
        <w:t>C production rates, 5, 21–33, https://doi.org/10.5194/gchron-5-21-2023, 2023.</w:t>
      </w:r>
    </w:p>
    <w:p w14:paraId="2718F18D"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Lifton, N., Sato, T., and Dunai, T. J.: Scaling in situ cosmogenic nuclide production rates using analytical approximations to atmospheric cosmic-ray fluxes, Earth Planet. Sci. Lett., 386, 149–160, https://doi.org/10.1016/j.epsl.2013.10.052, 2014.</w:t>
      </w:r>
    </w:p>
    <w:p w14:paraId="02F76B71"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Milillo, P., Rignot, E., Rizzoli, P., Scheuchl, B., Mouginot, J., Bueso-Bello, J. L., Prats-Iraola, P., and Dini, L.: Rapid glacier retreat rates observed in West Antarctica, Nat. Geosci., 15, 48–53, https://doi.org/10.1038/S41561-021-00877-Z, 2022.</w:t>
      </w:r>
    </w:p>
    <w:p w14:paraId="68E190E2"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Mouginot, J., Scheuchl, B., and Rignot, E.: Mapping of Ice Motion in Antarctica Using Synthetic-Aperture Radar Data, Remote Sens., 4, 2753–2767, https://doi.org/10.3390/rs4092753, 2012.</w:t>
      </w:r>
    </w:p>
    <w:p w14:paraId="30802F35"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Mouginot, J., Rignot, E., Scheuchl, B., and Millan, R.: Comprehensive annual ice sheet velocity mapping using Landsat-8, Sentinel-1, and RADARSAT-2 data, Remote Sens., 9, 1–20, https://doi.org/10.3390/rs9040364, 2017.</w:t>
      </w:r>
    </w:p>
    <w:p w14:paraId="409FCD76"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 xml:space="preserve">Nichols, K. A., Goehring, B. M., Balco, G., Johnson, J. S., Hein, A. S., and Todd, C.: New Last </w:t>
      </w:r>
      <w:r w:rsidRPr="00820E26">
        <w:rPr>
          <w:rFonts w:ascii="Times New Roman" w:hAnsi="Times New Roman" w:cs="Times New Roman"/>
          <w:noProof/>
          <w:kern w:val="0"/>
        </w:rPr>
        <w:lastRenderedPageBreak/>
        <w:t>Glacial Maximum ice thickness constraints for the Weddell Sea Embayment, Antarctica, Cryosph., 13, 2935–2951, https://doi.org/10.5194/tc-13-2935-2019, 2019.</w:t>
      </w:r>
    </w:p>
    <w:p w14:paraId="4D99ED1A"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kern w:val="0"/>
        </w:rPr>
      </w:pPr>
      <w:r w:rsidRPr="00820E26">
        <w:rPr>
          <w:rFonts w:ascii="Times New Roman" w:hAnsi="Times New Roman" w:cs="Times New Roman"/>
          <w:noProof/>
          <w:kern w:val="0"/>
        </w:rPr>
        <w:t>Rignot, E., Mouginot, J., and Scheuchl, B.: Antarctic grounding line mapping from differential satellite radar interferometry, Geophys. Res. Lett., 38, 1–6, https://doi.org/10.1029/2011GL047109, 2011.</w:t>
      </w:r>
    </w:p>
    <w:p w14:paraId="2529D1FE" w14:textId="77777777" w:rsidR="00820E26" w:rsidRPr="00820E26" w:rsidRDefault="00820E26" w:rsidP="00820E26">
      <w:pPr>
        <w:widowControl w:val="0"/>
        <w:autoSpaceDE w:val="0"/>
        <w:autoSpaceDN w:val="0"/>
        <w:adjustRightInd w:val="0"/>
        <w:spacing w:line="240" w:lineRule="auto"/>
        <w:rPr>
          <w:rFonts w:ascii="Times New Roman" w:hAnsi="Times New Roman" w:cs="Times New Roman"/>
          <w:noProof/>
        </w:rPr>
      </w:pPr>
      <w:r w:rsidRPr="00820E26">
        <w:rPr>
          <w:rFonts w:ascii="Times New Roman" w:hAnsi="Times New Roman" w:cs="Times New Roman"/>
          <w:noProof/>
          <w:kern w:val="0"/>
        </w:rPr>
        <w:t>Simões Pereira, P., van de Flierdt, T., Hemming, S. R., Hammond, S. J., Kuhn, G., Brachfeld, S., Doherty, C., and Hillenbrand, C. D.: Geochemical fingerprints of glacially eroded bedrock from West Antarctica: Detrital thermochronology, radiogenic isotope systematics and trace element geochemistry in Late Holocene glacial-marine sediments, https://doi.org/10.1016/j.earscirev.2018.04.011, 1 July 2018.</w:t>
      </w:r>
    </w:p>
    <w:p w14:paraId="57A8E6B8" w14:textId="21E06A5C" w:rsidR="00E54401" w:rsidRPr="00E54401" w:rsidRDefault="00E54401">
      <w:pPr>
        <w:rPr>
          <w:rFonts w:ascii="Times New Roman" w:hAnsi="Times New Roman" w:cs="Times New Roman"/>
          <w:b/>
          <w:bCs/>
          <w:u w:val="single"/>
        </w:rPr>
      </w:pPr>
      <w:r>
        <w:rPr>
          <w:rFonts w:ascii="Times New Roman" w:hAnsi="Times New Roman" w:cs="Times New Roman"/>
          <w:b/>
          <w:bCs/>
          <w:u w:val="single"/>
        </w:rPr>
        <w:fldChar w:fldCharType="end"/>
      </w:r>
    </w:p>
    <w:sectPr w:rsidR="00E54401" w:rsidRPr="00E54401" w:rsidSect="00A2449F">
      <w:type w:val="nextColumn"/>
      <w:pgSz w:w="11906" w:h="16838"/>
      <w:pgMar w:top="1440" w:right="1440" w:bottom="1440" w:left="1440" w:header="708" w:footer="708" w:gutter="0"/>
      <w:lnNumType w:countBy="5"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altName w:val="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051DFC"/>
    <w:multiLevelType w:val="hybridMultilevel"/>
    <w:tmpl w:val="1F6602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742994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E1D"/>
    <w:rsid w:val="000040F3"/>
    <w:rsid w:val="000171C2"/>
    <w:rsid w:val="00026020"/>
    <w:rsid w:val="0004571A"/>
    <w:rsid w:val="00067527"/>
    <w:rsid w:val="000D0684"/>
    <w:rsid w:val="001118CA"/>
    <w:rsid w:val="001269CC"/>
    <w:rsid w:val="00161253"/>
    <w:rsid w:val="00206562"/>
    <w:rsid w:val="002179EB"/>
    <w:rsid w:val="0025649E"/>
    <w:rsid w:val="002709F7"/>
    <w:rsid w:val="002804EA"/>
    <w:rsid w:val="002B053D"/>
    <w:rsid w:val="002C4664"/>
    <w:rsid w:val="002D25C3"/>
    <w:rsid w:val="002F130F"/>
    <w:rsid w:val="002F1B04"/>
    <w:rsid w:val="00312E32"/>
    <w:rsid w:val="00332F59"/>
    <w:rsid w:val="00346B4A"/>
    <w:rsid w:val="003738A5"/>
    <w:rsid w:val="003865BD"/>
    <w:rsid w:val="00391A90"/>
    <w:rsid w:val="003B255E"/>
    <w:rsid w:val="003E40D7"/>
    <w:rsid w:val="004005DD"/>
    <w:rsid w:val="00422AE4"/>
    <w:rsid w:val="00462C27"/>
    <w:rsid w:val="00466397"/>
    <w:rsid w:val="004A5D32"/>
    <w:rsid w:val="004F6209"/>
    <w:rsid w:val="00502A6A"/>
    <w:rsid w:val="00534EAA"/>
    <w:rsid w:val="005506D6"/>
    <w:rsid w:val="00555574"/>
    <w:rsid w:val="0056458D"/>
    <w:rsid w:val="005C4F2F"/>
    <w:rsid w:val="005D1810"/>
    <w:rsid w:val="005D2F39"/>
    <w:rsid w:val="005F5E0C"/>
    <w:rsid w:val="0061293C"/>
    <w:rsid w:val="006348BA"/>
    <w:rsid w:val="00636521"/>
    <w:rsid w:val="00642FD3"/>
    <w:rsid w:val="00647D4E"/>
    <w:rsid w:val="00661BFB"/>
    <w:rsid w:val="00662872"/>
    <w:rsid w:val="006D1173"/>
    <w:rsid w:val="006D184D"/>
    <w:rsid w:val="006D485F"/>
    <w:rsid w:val="006E5A97"/>
    <w:rsid w:val="00791CE2"/>
    <w:rsid w:val="007D25BE"/>
    <w:rsid w:val="007D50C5"/>
    <w:rsid w:val="007D7E7A"/>
    <w:rsid w:val="00811FFD"/>
    <w:rsid w:val="00820E26"/>
    <w:rsid w:val="00833669"/>
    <w:rsid w:val="00835E55"/>
    <w:rsid w:val="00884167"/>
    <w:rsid w:val="008A3F43"/>
    <w:rsid w:val="008E5B13"/>
    <w:rsid w:val="008E62DF"/>
    <w:rsid w:val="00950B89"/>
    <w:rsid w:val="00956D28"/>
    <w:rsid w:val="009C6DD5"/>
    <w:rsid w:val="00A0216E"/>
    <w:rsid w:val="00A146F8"/>
    <w:rsid w:val="00A2449F"/>
    <w:rsid w:val="00A54A1D"/>
    <w:rsid w:val="00A91ED7"/>
    <w:rsid w:val="00A96E39"/>
    <w:rsid w:val="00AB7F92"/>
    <w:rsid w:val="00AD3C69"/>
    <w:rsid w:val="00AD3E59"/>
    <w:rsid w:val="00AE763B"/>
    <w:rsid w:val="00B07EC9"/>
    <w:rsid w:val="00B24846"/>
    <w:rsid w:val="00B27156"/>
    <w:rsid w:val="00B60D1E"/>
    <w:rsid w:val="00B636A5"/>
    <w:rsid w:val="00B67F5C"/>
    <w:rsid w:val="00B7570D"/>
    <w:rsid w:val="00BB1A37"/>
    <w:rsid w:val="00BD04ED"/>
    <w:rsid w:val="00BF1F4C"/>
    <w:rsid w:val="00C13312"/>
    <w:rsid w:val="00C13E1D"/>
    <w:rsid w:val="00C2399D"/>
    <w:rsid w:val="00C73E4F"/>
    <w:rsid w:val="00C76F74"/>
    <w:rsid w:val="00CB4E55"/>
    <w:rsid w:val="00CB706D"/>
    <w:rsid w:val="00CD696B"/>
    <w:rsid w:val="00CE4C26"/>
    <w:rsid w:val="00D41B9B"/>
    <w:rsid w:val="00D432C6"/>
    <w:rsid w:val="00D81A7C"/>
    <w:rsid w:val="00DB4742"/>
    <w:rsid w:val="00DB7A52"/>
    <w:rsid w:val="00DC1DE1"/>
    <w:rsid w:val="00DC25CC"/>
    <w:rsid w:val="00DE45BB"/>
    <w:rsid w:val="00DF5548"/>
    <w:rsid w:val="00E26315"/>
    <w:rsid w:val="00E54401"/>
    <w:rsid w:val="00E71A2B"/>
    <w:rsid w:val="00EA7835"/>
    <w:rsid w:val="00F02438"/>
    <w:rsid w:val="00F11EAB"/>
    <w:rsid w:val="00F24E3F"/>
    <w:rsid w:val="00F40774"/>
    <w:rsid w:val="00F62923"/>
    <w:rsid w:val="00F734B0"/>
    <w:rsid w:val="00FF5D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33C7EC"/>
  <w15:chartTrackingRefBased/>
  <w15:docId w15:val="{9C4643F5-C5A2-4688-A76D-CD7584961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13E1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13E1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C13E1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C13E1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13E1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13E1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13E1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13E1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13E1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3E1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13E1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C13E1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C13E1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13E1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13E1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13E1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13E1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13E1D"/>
    <w:rPr>
      <w:rFonts w:eastAsiaTheme="majorEastAsia" w:cstheme="majorBidi"/>
      <w:color w:val="272727" w:themeColor="text1" w:themeTint="D8"/>
    </w:rPr>
  </w:style>
  <w:style w:type="paragraph" w:styleId="Title">
    <w:name w:val="Title"/>
    <w:basedOn w:val="Normal"/>
    <w:next w:val="Normal"/>
    <w:link w:val="TitleChar"/>
    <w:uiPriority w:val="10"/>
    <w:qFormat/>
    <w:rsid w:val="00C13E1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13E1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13E1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13E1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13E1D"/>
    <w:pPr>
      <w:spacing w:before="160"/>
      <w:jc w:val="center"/>
    </w:pPr>
    <w:rPr>
      <w:i/>
      <w:iCs/>
      <w:color w:val="404040" w:themeColor="text1" w:themeTint="BF"/>
    </w:rPr>
  </w:style>
  <w:style w:type="character" w:customStyle="1" w:styleId="QuoteChar">
    <w:name w:val="Quote Char"/>
    <w:basedOn w:val="DefaultParagraphFont"/>
    <w:link w:val="Quote"/>
    <w:uiPriority w:val="29"/>
    <w:rsid w:val="00C13E1D"/>
    <w:rPr>
      <w:i/>
      <w:iCs/>
      <w:color w:val="404040" w:themeColor="text1" w:themeTint="BF"/>
    </w:rPr>
  </w:style>
  <w:style w:type="paragraph" w:styleId="ListParagraph">
    <w:name w:val="List Paragraph"/>
    <w:basedOn w:val="Normal"/>
    <w:uiPriority w:val="34"/>
    <w:qFormat/>
    <w:rsid w:val="00C13E1D"/>
    <w:pPr>
      <w:ind w:left="720"/>
      <w:contextualSpacing/>
    </w:pPr>
  </w:style>
  <w:style w:type="character" w:styleId="IntenseEmphasis">
    <w:name w:val="Intense Emphasis"/>
    <w:basedOn w:val="DefaultParagraphFont"/>
    <w:uiPriority w:val="21"/>
    <w:qFormat/>
    <w:rsid w:val="00C13E1D"/>
    <w:rPr>
      <w:i/>
      <w:iCs/>
      <w:color w:val="0F4761" w:themeColor="accent1" w:themeShade="BF"/>
    </w:rPr>
  </w:style>
  <w:style w:type="paragraph" w:styleId="IntenseQuote">
    <w:name w:val="Intense Quote"/>
    <w:basedOn w:val="Normal"/>
    <w:next w:val="Normal"/>
    <w:link w:val="IntenseQuoteChar"/>
    <w:uiPriority w:val="30"/>
    <w:qFormat/>
    <w:rsid w:val="00C13E1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13E1D"/>
    <w:rPr>
      <w:i/>
      <w:iCs/>
      <w:color w:val="0F4761" w:themeColor="accent1" w:themeShade="BF"/>
    </w:rPr>
  </w:style>
  <w:style w:type="character" w:styleId="IntenseReference">
    <w:name w:val="Intense Reference"/>
    <w:basedOn w:val="DefaultParagraphFont"/>
    <w:uiPriority w:val="32"/>
    <w:qFormat/>
    <w:rsid w:val="00C13E1D"/>
    <w:rPr>
      <w:b/>
      <w:bCs/>
      <w:smallCaps/>
      <w:color w:val="0F4761" w:themeColor="accent1" w:themeShade="BF"/>
      <w:spacing w:val="5"/>
    </w:rPr>
  </w:style>
  <w:style w:type="character" w:styleId="LineNumber">
    <w:name w:val="line number"/>
    <w:basedOn w:val="DefaultParagraphFont"/>
    <w:uiPriority w:val="99"/>
    <w:semiHidden/>
    <w:unhideWhenUsed/>
    <w:rsid w:val="00B60D1E"/>
  </w:style>
  <w:style w:type="character" w:customStyle="1" w:styleId="unicode">
    <w:name w:val="unicode"/>
    <w:basedOn w:val="DefaultParagraphFont"/>
    <w:rsid w:val="00647D4E"/>
  </w:style>
  <w:style w:type="character" w:styleId="CommentReference">
    <w:name w:val="annotation reference"/>
    <w:basedOn w:val="DefaultParagraphFont"/>
    <w:uiPriority w:val="99"/>
    <w:semiHidden/>
    <w:unhideWhenUsed/>
    <w:rsid w:val="00462C27"/>
    <w:rPr>
      <w:sz w:val="16"/>
      <w:szCs w:val="16"/>
    </w:rPr>
  </w:style>
  <w:style w:type="paragraph" w:styleId="CommentText">
    <w:name w:val="annotation text"/>
    <w:basedOn w:val="Normal"/>
    <w:link w:val="CommentTextChar"/>
    <w:uiPriority w:val="99"/>
    <w:unhideWhenUsed/>
    <w:rsid w:val="00462C27"/>
    <w:pPr>
      <w:spacing w:line="240" w:lineRule="auto"/>
    </w:pPr>
    <w:rPr>
      <w:sz w:val="20"/>
      <w:szCs w:val="20"/>
    </w:rPr>
  </w:style>
  <w:style w:type="character" w:customStyle="1" w:styleId="CommentTextChar">
    <w:name w:val="Comment Text Char"/>
    <w:basedOn w:val="DefaultParagraphFont"/>
    <w:link w:val="CommentText"/>
    <w:uiPriority w:val="99"/>
    <w:rsid w:val="00462C27"/>
    <w:rPr>
      <w:sz w:val="20"/>
      <w:szCs w:val="20"/>
    </w:rPr>
  </w:style>
  <w:style w:type="paragraph" w:styleId="CommentSubject">
    <w:name w:val="annotation subject"/>
    <w:basedOn w:val="CommentText"/>
    <w:next w:val="CommentText"/>
    <w:link w:val="CommentSubjectChar"/>
    <w:uiPriority w:val="99"/>
    <w:semiHidden/>
    <w:unhideWhenUsed/>
    <w:rsid w:val="00462C27"/>
    <w:rPr>
      <w:b/>
      <w:bCs/>
    </w:rPr>
  </w:style>
  <w:style w:type="character" w:customStyle="1" w:styleId="CommentSubjectChar">
    <w:name w:val="Comment Subject Char"/>
    <w:basedOn w:val="CommentTextChar"/>
    <w:link w:val="CommentSubject"/>
    <w:uiPriority w:val="99"/>
    <w:semiHidden/>
    <w:rsid w:val="00462C27"/>
    <w:rPr>
      <w:b/>
      <w:bCs/>
      <w:sz w:val="20"/>
      <w:szCs w:val="20"/>
    </w:rPr>
  </w:style>
  <w:style w:type="character" w:styleId="Hyperlink">
    <w:name w:val="Hyperlink"/>
    <w:basedOn w:val="DefaultParagraphFont"/>
    <w:uiPriority w:val="99"/>
    <w:unhideWhenUsed/>
    <w:rsid w:val="00662872"/>
    <w:rPr>
      <w:color w:val="467886" w:themeColor="hyperlink"/>
      <w:u w:val="single"/>
    </w:rPr>
  </w:style>
  <w:style w:type="character" w:styleId="UnresolvedMention">
    <w:name w:val="Unresolved Mention"/>
    <w:basedOn w:val="DefaultParagraphFont"/>
    <w:uiPriority w:val="99"/>
    <w:semiHidden/>
    <w:unhideWhenUsed/>
    <w:rsid w:val="00662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5745635">
      <w:bodyDiv w:val="1"/>
      <w:marLeft w:val="0"/>
      <w:marRight w:val="0"/>
      <w:marTop w:val="0"/>
      <w:marBottom w:val="0"/>
      <w:divBdr>
        <w:top w:val="none" w:sz="0" w:space="0" w:color="auto"/>
        <w:left w:val="none" w:sz="0" w:space="0" w:color="auto"/>
        <w:bottom w:val="none" w:sz="0" w:space="0" w:color="auto"/>
        <w:right w:val="none" w:sz="0" w:space="0" w:color="auto"/>
      </w:divBdr>
    </w:div>
    <w:div w:id="860434607">
      <w:bodyDiv w:val="1"/>
      <w:marLeft w:val="0"/>
      <w:marRight w:val="0"/>
      <w:marTop w:val="0"/>
      <w:marBottom w:val="0"/>
      <w:divBdr>
        <w:top w:val="none" w:sz="0" w:space="0" w:color="auto"/>
        <w:left w:val="none" w:sz="0" w:space="0" w:color="auto"/>
        <w:bottom w:val="none" w:sz="0" w:space="0" w:color="auto"/>
        <w:right w:val="none" w:sz="0" w:space="0" w:color="auto"/>
      </w:divBdr>
      <w:divsChild>
        <w:div w:id="498228086">
          <w:marLeft w:val="0"/>
          <w:marRight w:val="0"/>
          <w:marTop w:val="0"/>
          <w:marBottom w:val="0"/>
          <w:divBdr>
            <w:top w:val="none" w:sz="0" w:space="0" w:color="auto"/>
            <w:left w:val="none" w:sz="0" w:space="0" w:color="auto"/>
            <w:bottom w:val="none" w:sz="0" w:space="0" w:color="auto"/>
            <w:right w:val="none" w:sz="0" w:space="0" w:color="auto"/>
          </w:divBdr>
        </w:div>
        <w:div w:id="1919555484">
          <w:marLeft w:val="0"/>
          <w:marRight w:val="0"/>
          <w:marTop w:val="0"/>
          <w:marBottom w:val="0"/>
          <w:divBdr>
            <w:top w:val="none" w:sz="0" w:space="0" w:color="auto"/>
            <w:left w:val="none" w:sz="0" w:space="0" w:color="auto"/>
            <w:bottom w:val="none" w:sz="0" w:space="0" w:color="auto"/>
            <w:right w:val="none" w:sz="0" w:space="0" w:color="auto"/>
          </w:divBdr>
        </w:div>
        <w:div w:id="1136140712">
          <w:marLeft w:val="0"/>
          <w:marRight w:val="0"/>
          <w:marTop w:val="0"/>
          <w:marBottom w:val="0"/>
          <w:divBdr>
            <w:top w:val="none" w:sz="0" w:space="0" w:color="auto"/>
            <w:left w:val="none" w:sz="0" w:space="0" w:color="auto"/>
            <w:bottom w:val="none" w:sz="0" w:space="0" w:color="auto"/>
            <w:right w:val="none" w:sz="0" w:space="0" w:color="auto"/>
          </w:divBdr>
        </w:div>
      </w:divsChild>
    </w:div>
    <w:div w:id="1070074662">
      <w:bodyDiv w:val="1"/>
      <w:marLeft w:val="0"/>
      <w:marRight w:val="0"/>
      <w:marTop w:val="0"/>
      <w:marBottom w:val="0"/>
      <w:divBdr>
        <w:top w:val="none" w:sz="0" w:space="0" w:color="auto"/>
        <w:left w:val="none" w:sz="0" w:space="0" w:color="auto"/>
        <w:bottom w:val="none" w:sz="0" w:space="0" w:color="auto"/>
        <w:right w:val="none" w:sz="0" w:space="0" w:color="auto"/>
      </w:divBdr>
    </w:div>
    <w:div w:id="1382554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hyperlink" Target="https://prr.osu.edu/" TargetMode="External"/><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A32A9-A25E-4428-8849-81450F69F8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23</Pages>
  <Words>15921</Words>
  <Characters>84223</Characters>
  <Application>Microsoft Office Word</Application>
  <DocSecurity>0</DocSecurity>
  <Lines>2339</Lines>
  <Paragraphs>1164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Adams, Jonathan R</dc:creator>
  <cp:keywords/>
  <dc:description/>
  <cp:lastModifiedBy>Adams, Jonathan R</cp:lastModifiedBy>
  <cp:revision>43</cp:revision>
  <dcterms:created xsi:type="dcterms:W3CDTF">2024-10-23T20:46:00Z</dcterms:created>
  <dcterms:modified xsi:type="dcterms:W3CDTF">2024-12-06T09:23:00Z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http://www.zotero.org/styles/geology</vt:lpwstr>
  </property>
  <property fmtid="{D5CDD505-2E9C-101B-9397-08002B2CF9AE}" pid="9" name="Mendeley Recent Style Name 3_1">
    <vt:lpwstr>Geology</vt:lpwstr>
  </property>
  <property fmtid="{D5CDD505-2E9C-101B-9397-08002B2CF9AE}" pid="10" name="Mendeley Recent Style Id 4_1">
    <vt:lpwstr>http://www.zotero.org/styles/harvard1</vt:lpwstr>
  </property>
  <property fmtid="{D5CDD505-2E9C-101B-9397-08002B2CF9AE}" pid="11" name="Mendeley Recent Style Name 4_1">
    <vt:lpwstr>Harvard reference format 1 (deprecated)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http://www.zotero.org/styles/remote-sensing</vt:lpwstr>
  </property>
  <property fmtid="{D5CDD505-2E9C-101B-9397-08002B2CF9AE}" pid="19" name="Mendeley Recent Style Name 8_1">
    <vt:lpwstr>Remote Sensing</vt:lpwstr>
  </property>
  <property fmtid="{D5CDD505-2E9C-101B-9397-08002B2CF9AE}" pid="20" name="Mendeley Recent Style Id 9_1">
    <vt:lpwstr>http://www.zotero.org/styles/the-cryosphere</vt:lpwstr>
  </property>
  <property fmtid="{D5CDD505-2E9C-101B-9397-08002B2CF9AE}" pid="21" name="Mendeley Recent Style Name 9_1">
    <vt:lpwstr>The Cryosphere</vt:lpwstr>
  </property>
  <property fmtid="{D5CDD505-2E9C-101B-9397-08002B2CF9AE}" pid="22" name="Mendeley Document_1">
    <vt:lpwstr>True</vt:lpwstr>
  </property>
  <property fmtid="{D5CDD505-2E9C-101B-9397-08002B2CF9AE}" pid="23" name="Mendeley Unique User Id_1">
    <vt:lpwstr>155fd1bb-3ba3-3a16-829f-4d31184faf5d</vt:lpwstr>
  </property>
  <property fmtid="{D5CDD505-2E9C-101B-9397-08002B2CF9AE}" pid="24" name="Mendeley Citation Style_1">
    <vt:lpwstr>http://www.zotero.org/styles/the-cryosphere</vt:lpwstr>
  </property>
</Properties>
</file>